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33D" w:rsidRDefault="00EB433D" w:rsidP="00EB433D">
      <w:pPr>
        <w:pStyle w:val="Header"/>
      </w:pPr>
    </w:p>
    <w:p w:rsidR="009163F5" w:rsidRDefault="009163F5">
      <w:pPr>
        <w:pStyle w:val="FAPPPolicyHead1"/>
      </w:pPr>
      <w:r>
        <w:t>1</w:t>
      </w:r>
      <w:r>
        <w:tab/>
        <w:t>POLICY</w:t>
      </w:r>
    </w:p>
    <w:p w:rsidR="009163F5" w:rsidRDefault="009163F5">
      <w:pPr>
        <w:pStyle w:val="FAPPPolicyParawithNumber"/>
      </w:pPr>
      <w:r>
        <w:t>1.01</w:t>
      </w:r>
      <w:r>
        <w:tab/>
        <w:t xml:space="preserve">Expense Advances </w:t>
      </w:r>
      <w:proofErr w:type="gramStart"/>
      <w:r>
        <w:t>may be provided</w:t>
      </w:r>
      <w:proofErr w:type="gramEnd"/>
      <w:r>
        <w:t xml:space="preserve"> to employees when the nature and approximate amount of the expense is approved beforehand.  The company does not support the use of Expense Accounts.</w:t>
      </w:r>
    </w:p>
    <w:p w:rsidR="009163F5" w:rsidRDefault="009163F5">
      <w:pPr>
        <w:pStyle w:val="FAPPPolicyParawithNumber"/>
      </w:pPr>
    </w:p>
    <w:p w:rsidR="009163F5" w:rsidRDefault="009163F5">
      <w:pPr>
        <w:pStyle w:val="FAPPPolicyParawithNumber"/>
      </w:pPr>
    </w:p>
    <w:p w:rsidR="009163F5" w:rsidRDefault="009163F5">
      <w:pPr>
        <w:pStyle w:val="FAPPPolicyHead1"/>
      </w:pPr>
      <w:r>
        <w:t>2</w:t>
      </w:r>
      <w:r>
        <w:tab/>
        <w:t>PURPOSE</w:t>
      </w:r>
    </w:p>
    <w:p w:rsidR="009163F5" w:rsidRDefault="009163F5">
      <w:pPr>
        <w:pStyle w:val="FAPPPolicyParawithNumber"/>
        <w:rPr>
          <w:b/>
          <w:bCs/>
        </w:rPr>
      </w:pPr>
      <w:r>
        <w:t>2.01</w:t>
      </w:r>
      <w:r>
        <w:tab/>
        <w:t xml:space="preserve">The purpose of this Statement of Policy and Procedure is to provide guidance to management and employees in situations where a large expense </w:t>
      </w:r>
      <w:proofErr w:type="gramStart"/>
      <w:r>
        <w:t>must be undertaken</w:t>
      </w:r>
      <w:proofErr w:type="gramEnd"/>
      <w:r>
        <w:t xml:space="preserve"> on a cash or cheque basis. </w:t>
      </w:r>
    </w:p>
    <w:p w:rsidR="009163F5" w:rsidRDefault="009163F5">
      <w:pPr>
        <w:pStyle w:val="FAPPPolicyParawithNumber"/>
      </w:pPr>
    </w:p>
    <w:p w:rsidR="009163F5" w:rsidRDefault="009163F5">
      <w:pPr>
        <w:pStyle w:val="FAPPPolicyParawithNumber"/>
      </w:pPr>
    </w:p>
    <w:p w:rsidR="009163F5" w:rsidRDefault="009163F5">
      <w:pPr>
        <w:pStyle w:val="FAPPPolicyHead1"/>
      </w:pPr>
      <w:r>
        <w:t>3</w:t>
      </w:r>
      <w:r>
        <w:tab/>
        <w:t>SCOPE</w:t>
      </w:r>
    </w:p>
    <w:p w:rsidR="009163F5" w:rsidRDefault="009163F5">
      <w:pPr>
        <w:pStyle w:val="FAPPPolicyParawithNumber"/>
        <w:rPr>
          <w:b/>
          <w:bCs/>
        </w:rPr>
      </w:pPr>
      <w:r>
        <w:t>3.01</w:t>
      </w:r>
      <w:r>
        <w:tab/>
        <w:t>The Expense Advances and Expense Allowances policy applies to all employees.</w:t>
      </w:r>
    </w:p>
    <w:p w:rsidR="009163F5" w:rsidRDefault="009163F5">
      <w:pPr>
        <w:pStyle w:val="FAPPPolicyParawithNumber"/>
      </w:pPr>
    </w:p>
    <w:p w:rsidR="009163F5" w:rsidRDefault="009163F5">
      <w:pPr>
        <w:pStyle w:val="FAPPPolicyParawithNumber"/>
      </w:pPr>
    </w:p>
    <w:p w:rsidR="009163F5" w:rsidRDefault="009163F5">
      <w:pPr>
        <w:pStyle w:val="FAPPPolicyHead1"/>
      </w:pPr>
      <w:r>
        <w:t>4</w:t>
      </w:r>
      <w:r>
        <w:tab/>
        <w:t>RESPONSIBILITY</w:t>
      </w:r>
    </w:p>
    <w:p w:rsidR="009163F5" w:rsidRDefault="009163F5">
      <w:pPr>
        <w:pStyle w:val="FAPPPolicyParawithNumber"/>
      </w:pPr>
      <w:r>
        <w:t>4.01</w:t>
      </w:r>
      <w:r>
        <w:tab/>
        <w:t xml:space="preserve">The </w:t>
      </w:r>
      <w:r w:rsidR="00DC2E8A">
        <w:rPr>
          <w:b/>
        </w:rPr>
        <w:t>D</w:t>
      </w:r>
      <w:r w:rsidR="00EA213F" w:rsidRPr="00DC2E8A">
        <w:rPr>
          <w:b/>
        </w:rPr>
        <w:t>irectors</w:t>
      </w:r>
      <w:r>
        <w:t xml:space="preserve"> are responsible </w:t>
      </w:r>
      <w:proofErr w:type="gramStart"/>
      <w:r>
        <w:t>for</w:t>
      </w:r>
      <w:proofErr w:type="gramEnd"/>
      <w:r>
        <w:t>:</w:t>
      </w:r>
    </w:p>
    <w:p w:rsidR="009163F5" w:rsidRDefault="009163F5">
      <w:pPr>
        <w:pStyle w:val="FAAPyParaBullet"/>
      </w:pPr>
      <w:r>
        <w:t>Ensuring that expense advances are limited and that wherever possible, purchases are made on an invoiced basis</w:t>
      </w:r>
    </w:p>
    <w:p w:rsidR="009163F5" w:rsidRDefault="009163F5">
      <w:pPr>
        <w:pStyle w:val="FAAPyParaBullet"/>
      </w:pPr>
      <w:r>
        <w:t>Authorizing expense advances</w:t>
      </w:r>
    </w:p>
    <w:p w:rsidR="009163F5" w:rsidRDefault="009163F5">
      <w:pPr>
        <w:pStyle w:val="FAPPPolicyParawithNumber"/>
      </w:pPr>
    </w:p>
    <w:p w:rsidR="009163F5" w:rsidRDefault="009163F5">
      <w:pPr>
        <w:pStyle w:val="FAPPPolicyParawithNumber"/>
      </w:pPr>
      <w:r>
        <w:t>4.02</w:t>
      </w:r>
      <w:r>
        <w:tab/>
        <w:t xml:space="preserve">The </w:t>
      </w:r>
      <w:r w:rsidR="00EA213F" w:rsidRPr="00DC2E8A">
        <w:rPr>
          <w:b/>
        </w:rPr>
        <w:t>Finance Department</w:t>
      </w:r>
      <w:r>
        <w:t xml:space="preserve"> is responsible </w:t>
      </w:r>
      <w:proofErr w:type="gramStart"/>
      <w:r>
        <w:t>for</w:t>
      </w:r>
      <w:proofErr w:type="gramEnd"/>
      <w:r>
        <w:t>:</w:t>
      </w:r>
    </w:p>
    <w:p w:rsidR="009163F5" w:rsidRDefault="009163F5">
      <w:pPr>
        <w:pStyle w:val="FAAPPolicyParaBullet"/>
      </w:pPr>
      <w:r>
        <w:t>Confirming that appropriate authorization has been obtained for any expense advance</w:t>
      </w:r>
    </w:p>
    <w:p w:rsidR="009163F5" w:rsidRDefault="009163F5">
      <w:pPr>
        <w:pStyle w:val="FAAPPolicyParaBullet"/>
      </w:pPr>
      <w:r>
        <w:t>Producing advance cheques on a timely basis when properly authorized</w:t>
      </w:r>
    </w:p>
    <w:p w:rsidR="009163F5" w:rsidRDefault="009163F5">
      <w:pPr>
        <w:pStyle w:val="FAPPPolicyPara"/>
      </w:pPr>
    </w:p>
    <w:p w:rsidR="009163F5" w:rsidRDefault="009163F5">
      <w:pPr>
        <w:pStyle w:val="FAPPPolicyPara"/>
      </w:pPr>
    </w:p>
    <w:p w:rsidR="009163F5" w:rsidRDefault="009163F5">
      <w:pPr>
        <w:pStyle w:val="FAPPPolicyHead1"/>
      </w:pPr>
      <w:r>
        <w:t>5</w:t>
      </w:r>
      <w:r>
        <w:tab/>
        <w:t>DEFINITIONS</w:t>
      </w:r>
    </w:p>
    <w:p w:rsidR="002E53BB" w:rsidRDefault="009163F5" w:rsidP="002E53BB">
      <w:pPr>
        <w:pStyle w:val="FAPPPolicyParawithNumber"/>
      </w:pPr>
      <w:proofErr w:type="gramStart"/>
      <w:r>
        <w:t>5.01</w:t>
      </w:r>
      <w:proofErr w:type="gramEnd"/>
      <w:r>
        <w:tab/>
        <w:t>“</w:t>
      </w:r>
      <w:r>
        <w:rPr>
          <w:b/>
          <w:bCs/>
        </w:rPr>
        <w:t>Cheque Requisition</w:t>
      </w:r>
      <w:r>
        <w:t xml:space="preserve">” means </w:t>
      </w:r>
      <w:r w:rsidR="006923BF">
        <w:t xml:space="preserve">request that </w:t>
      </w:r>
      <w:r>
        <w:t>a cheque be prepar</w:t>
      </w:r>
      <w:r w:rsidR="002E53BB">
        <w:t xml:space="preserve">ed to pay for a company </w:t>
      </w:r>
      <w:r w:rsidR="002E53BB" w:rsidRPr="00DD48E0">
        <w:t xml:space="preserve">expense </w:t>
      </w:r>
      <w:r w:rsidR="006923BF" w:rsidRPr="00DD48E0">
        <w:t xml:space="preserve">paid with </w:t>
      </w:r>
      <w:r w:rsidR="002E53BB" w:rsidRPr="00DD48E0">
        <w:t>the</w:t>
      </w:r>
      <w:r w:rsidR="002E53BB">
        <w:t xml:space="preserve"> employee’s own funds.</w:t>
      </w:r>
    </w:p>
    <w:p w:rsidR="009163F5" w:rsidRDefault="009163F5">
      <w:pPr>
        <w:pStyle w:val="FAPPPolicyParawithNumber"/>
      </w:pPr>
    </w:p>
    <w:p w:rsidR="00AC68DE" w:rsidRDefault="00AC68DE">
      <w:pPr>
        <w:pStyle w:val="FAPPPolicyParawithNumber"/>
      </w:pPr>
    </w:p>
    <w:p w:rsidR="00DC2E8A" w:rsidRDefault="00DC2E8A" w:rsidP="00DC2E8A">
      <w:pPr>
        <w:pStyle w:val="FAPPPolicyParawithNumber"/>
      </w:pPr>
      <w:proofErr w:type="gramStart"/>
      <w:r>
        <w:t>5.03</w:t>
      </w:r>
      <w:proofErr w:type="gramEnd"/>
      <w:r>
        <w:tab/>
        <w:t>“</w:t>
      </w:r>
      <w:r>
        <w:rPr>
          <w:b/>
          <w:bCs/>
        </w:rPr>
        <w:t>Expense advance</w:t>
      </w:r>
      <w:r>
        <w:t>” means money or a cheque provided to an employee in anticipation of a pre-approved company expense.</w:t>
      </w:r>
    </w:p>
    <w:p w:rsidR="002E53BB" w:rsidRDefault="002E53BB">
      <w:pPr>
        <w:pStyle w:val="FAPPPolicyParawithNumber"/>
      </w:pPr>
    </w:p>
    <w:p w:rsidR="00DC2E8A" w:rsidRDefault="00DC2E8A" w:rsidP="00DC2E8A">
      <w:pPr>
        <w:pStyle w:val="FAPPPolicyParawithNumber"/>
      </w:pPr>
      <w:r>
        <w:t>5.04</w:t>
      </w:r>
      <w:r>
        <w:tab/>
        <w:t>“</w:t>
      </w:r>
      <w:r>
        <w:rPr>
          <w:b/>
          <w:bCs/>
        </w:rPr>
        <w:t xml:space="preserve">Expense </w:t>
      </w:r>
      <w:r w:rsidRPr="00DD48E0">
        <w:rPr>
          <w:b/>
          <w:bCs/>
        </w:rPr>
        <w:t>allowance</w:t>
      </w:r>
      <w:r w:rsidRPr="00DD48E0">
        <w:t>” means a</w:t>
      </w:r>
      <w:r w:rsidR="006923BF" w:rsidRPr="00DD48E0">
        <w:t xml:space="preserve"> </w:t>
      </w:r>
      <w:r w:rsidR="00AE36B8" w:rsidRPr="00DD48E0">
        <w:t>fixed</w:t>
      </w:r>
      <w:r w:rsidR="006923BF" w:rsidRPr="00DD48E0">
        <w:t xml:space="preserve"> </w:t>
      </w:r>
      <w:r w:rsidRPr="00DD48E0">
        <w:t xml:space="preserve">amount of funds made available to an employee in anticipation of </w:t>
      </w:r>
      <w:proofErr w:type="gramStart"/>
      <w:r w:rsidRPr="00DD48E0">
        <w:t>as yet</w:t>
      </w:r>
      <w:proofErr w:type="gramEnd"/>
      <w:r w:rsidRPr="00DD48E0">
        <w:t xml:space="preserve"> unknown expenditures on behalf of the company.  (These </w:t>
      </w:r>
      <w:r w:rsidR="00AE36B8" w:rsidRPr="00DD48E0">
        <w:t>allowances</w:t>
      </w:r>
      <w:r w:rsidR="00AE36B8">
        <w:rPr>
          <w:color w:val="FF0000"/>
        </w:rPr>
        <w:t xml:space="preserve"> </w:t>
      </w:r>
      <w:proofErr w:type="gramStart"/>
      <w:r>
        <w:t>are not permitted</w:t>
      </w:r>
      <w:proofErr w:type="gramEnd"/>
      <w:r>
        <w:t>.)</w:t>
      </w:r>
    </w:p>
    <w:p w:rsidR="002E53BB" w:rsidRDefault="002E53BB">
      <w:pPr>
        <w:pStyle w:val="FAPPPolicyParawithNumber"/>
      </w:pPr>
    </w:p>
    <w:p w:rsidR="009163F5" w:rsidRDefault="009163F5">
      <w:pPr>
        <w:pStyle w:val="FAPPPolicyHead1"/>
      </w:pPr>
      <w:r>
        <w:t>6</w:t>
      </w:r>
      <w:r>
        <w:tab/>
        <w:t>REFERENCES and RELATED STATEMENTS of POLICY and PROCEDURE</w:t>
      </w:r>
    </w:p>
    <w:p w:rsidR="009163F5" w:rsidRDefault="009163F5">
      <w:pPr>
        <w:pStyle w:val="FAPPPolicyPara"/>
      </w:pPr>
      <w:r>
        <w:t>FN 2.01 — Expense Authorization</w:t>
      </w:r>
    </w:p>
    <w:p w:rsidR="009163F5" w:rsidRDefault="009163F5">
      <w:pPr>
        <w:pStyle w:val="FAPPPolicyPara"/>
      </w:pPr>
      <w:r>
        <w:t>FN 2.05 — Travel Guidelines</w:t>
      </w:r>
    </w:p>
    <w:p w:rsidR="009163F5" w:rsidRDefault="009163F5">
      <w:pPr>
        <w:pStyle w:val="FAPPPolicyPara"/>
      </w:pPr>
    </w:p>
    <w:p w:rsidR="009163F5" w:rsidRDefault="009163F5">
      <w:pPr>
        <w:pStyle w:val="FAPPPolicyHead1"/>
      </w:pPr>
      <w:r>
        <w:t>7</w:t>
      </w:r>
      <w:r>
        <w:tab/>
        <w:t>PROCEDURES</w:t>
      </w:r>
    </w:p>
    <w:p w:rsidR="009163F5" w:rsidRDefault="009163F5">
      <w:pPr>
        <w:pStyle w:val="FAPPPolicyParawithNumber"/>
      </w:pPr>
      <w:proofErr w:type="gramStart"/>
      <w:r>
        <w:t>7.01</w:t>
      </w:r>
      <w:proofErr w:type="gramEnd"/>
      <w:r>
        <w:tab/>
      </w:r>
      <w:r w:rsidR="00DC2E8A">
        <w:rPr>
          <w:b/>
          <w:bCs/>
        </w:rPr>
        <w:t>Out of</w:t>
      </w:r>
      <w:r>
        <w:rPr>
          <w:b/>
          <w:bCs/>
        </w:rPr>
        <w:t xml:space="preserve"> Pocket Expenses</w:t>
      </w:r>
    </w:p>
    <w:p w:rsidR="009163F5" w:rsidRDefault="009163F5">
      <w:pPr>
        <w:pStyle w:val="FAPPPolicyParaAwithNoNumber"/>
      </w:pPr>
    </w:p>
    <w:p w:rsidR="009163F5" w:rsidRDefault="009163F5">
      <w:pPr>
        <w:pStyle w:val="FAPPPolicyParaAwithNoNumber"/>
        <w:rPr>
          <w:b/>
          <w:bCs/>
        </w:rPr>
      </w:pPr>
      <w:r>
        <w:t>(a)</w:t>
      </w:r>
      <w:r>
        <w:tab/>
        <w:t xml:space="preserve">When an employee makes a purchase on behalf of the </w:t>
      </w:r>
      <w:r w:rsidR="00EA213F">
        <w:t>agency</w:t>
      </w:r>
      <w:r w:rsidR="00DC2E8A">
        <w:t xml:space="preserve"> from the employee’s </w:t>
      </w:r>
      <w:r>
        <w:t xml:space="preserve">own funds, receipts </w:t>
      </w:r>
      <w:proofErr w:type="gramStart"/>
      <w:r>
        <w:t xml:space="preserve">should be retained and submitted along with a </w:t>
      </w:r>
      <w:r w:rsidR="00EA213F">
        <w:t>request for reimbursement</w:t>
      </w:r>
      <w:proofErr w:type="gramEnd"/>
      <w:r>
        <w:t xml:space="preserve">.  Normal authorization procedures </w:t>
      </w:r>
      <w:r w:rsidR="00AE36B8">
        <w:t xml:space="preserve">are to </w:t>
      </w:r>
      <w:proofErr w:type="gramStart"/>
      <w:r>
        <w:t>be followed</w:t>
      </w:r>
      <w:proofErr w:type="gramEnd"/>
      <w:r>
        <w:t xml:space="preserve">, see </w:t>
      </w:r>
      <w:r>
        <w:rPr>
          <w:b/>
          <w:bCs/>
        </w:rPr>
        <w:t>FN 2.01 – Expense Authorization.</w:t>
      </w:r>
    </w:p>
    <w:p w:rsidR="009163F5" w:rsidRDefault="009163F5">
      <w:pPr>
        <w:pStyle w:val="FAPPPolicyPara"/>
      </w:pPr>
    </w:p>
    <w:p w:rsidR="009163F5" w:rsidRDefault="009163F5">
      <w:pPr>
        <w:pStyle w:val="FAPPPolicyParawithNumber"/>
      </w:pPr>
      <w:r>
        <w:t>7.02</w:t>
      </w:r>
      <w:r>
        <w:tab/>
      </w:r>
      <w:r>
        <w:rPr>
          <w:b/>
          <w:bCs/>
        </w:rPr>
        <w:t>Expense Advances</w:t>
      </w:r>
    </w:p>
    <w:p w:rsidR="009163F5" w:rsidRDefault="009163F5">
      <w:pPr>
        <w:pStyle w:val="FAPPPolicyParaAwithNoNumber"/>
      </w:pPr>
    </w:p>
    <w:p w:rsidR="009163F5" w:rsidRDefault="009163F5">
      <w:pPr>
        <w:pStyle w:val="FAPPPolicyParaAwithNoNumber"/>
      </w:pPr>
      <w:r>
        <w:t>(a)</w:t>
      </w:r>
      <w:r>
        <w:tab/>
        <w:t xml:space="preserve">When an employee is required to spend a large amount of money in the execution of their duties, an expense advance </w:t>
      </w:r>
      <w:proofErr w:type="gramStart"/>
      <w:r>
        <w:t>may be provided</w:t>
      </w:r>
      <w:proofErr w:type="gramEnd"/>
      <w:r>
        <w:t xml:space="preserve">.  </w:t>
      </w:r>
    </w:p>
    <w:p w:rsidR="009163F5" w:rsidRDefault="009163F5">
      <w:pPr>
        <w:pStyle w:val="FAPPPolicyParaAwithNoNumber"/>
      </w:pPr>
      <w:r>
        <w:t>(b)</w:t>
      </w:r>
      <w:r>
        <w:tab/>
        <w:t xml:space="preserve">The advance </w:t>
      </w:r>
      <w:proofErr w:type="gramStart"/>
      <w:r>
        <w:t>must be approved</w:t>
      </w:r>
      <w:proofErr w:type="gramEnd"/>
      <w:r>
        <w:t xml:space="preserve"> by the </w:t>
      </w:r>
      <w:r w:rsidR="00DC2E8A">
        <w:t xml:space="preserve">applicable </w:t>
      </w:r>
      <w:r w:rsidR="00DC2E8A">
        <w:rPr>
          <w:b/>
        </w:rPr>
        <w:t>Director</w:t>
      </w:r>
      <w:r>
        <w:t xml:space="preserve"> in accordance with the Expense Authorization policy, via a </w:t>
      </w:r>
      <w:r w:rsidR="00DC2E8A">
        <w:t>Purchase Requisition</w:t>
      </w:r>
      <w:r>
        <w:t xml:space="preserve"> </w:t>
      </w:r>
      <w:r w:rsidR="00DC2E8A">
        <w:t>f</w:t>
      </w:r>
      <w:r>
        <w:t>or a cheque</w:t>
      </w:r>
      <w:r w:rsidR="00AE36B8">
        <w:t>.</w:t>
      </w:r>
      <w:r w:rsidRPr="00AE36B8">
        <w:rPr>
          <w:color w:val="FF0000"/>
        </w:rPr>
        <w:t xml:space="preserve"> </w:t>
      </w:r>
    </w:p>
    <w:p w:rsidR="009163F5" w:rsidRDefault="009163F5">
      <w:pPr>
        <w:pStyle w:val="FAPPPolicyParaAwithNoNumber"/>
      </w:pPr>
      <w:r>
        <w:t>(c)</w:t>
      </w:r>
      <w:r>
        <w:tab/>
        <w:t xml:space="preserve">Accounting will produce a cheque payable to the employee </w:t>
      </w:r>
      <w:proofErr w:type="gramStart"/>
      <w:r>
        <w:t>in the amount of the</w:t>
      </w:r>
      <w:proofErr w:type="gramEnd"/>
      <w:r>
        <w:t xml:space="preserve"> advance.</w:t>
      </w:r>
    </w:p>
    <w:p w:rsidR="009163F5" w:rsidRDefault="00DC2E8A">
      <w:pPr>
        <w:pStyle w:val="FAPPPolicyParaAwithNoNumber"/>
      </w:pPr>
      <w:r>
        <w:t>(d)</w:t>
      </w:r>
      <w:r>
        <w:tab/>
        <w:t xml:space="preserve">The employee must keep </w:t>
      </w:r>
      <w:r w:rsidR="009163F5">
        <w:t>receipts of these expenses and submit a statement of ex</w:t>
      </w:r>
      <w:r>
        <w:t>penses along with the receipts</w:t>
      </w:r>
      <w:r w:rsidR="009163F5">
        <w:t xml:space="preserve"> for the approval of his/her </w:t>
      </w:r>
      <w:r>
        <w:rPr>
          <w:b/>
        </w:rPr>
        <w:t>Director</w:t>
      </w:r>
      <w:r w:rsidR="009163F5">
        <w:t>.</w:t>
      </w:r>
    </w:p>
    <w:p w:rsidR="00DC2E8A" w:rsidRDefault="00DC2E8A" w:rsidP="00DC2E8A">
      <w:pPr>
        <w:pStyle w:val="FAPPPolicyParaAwithNoNumber"/>
        <w:rPr>
          <w:b/>
          <w:bCs/>
        </w:rPr>
      </w:pPr>
      <w:r>
        <w:t>(e)</w:t>
      </w:r>
      <w:r>
        <w:tab/>
        <w:t xml:space="preserve">Any difference between the amount advanced and the amount of approved expenses shall be reimbursed by the company (in the case of expenses greater than the advance), or by the employee (in the case of an advance greater than the expenses), by cash or </w:t>
      </w:r>
      <w:r>
        <w:lastRenderedPageBreak/>
        <w:t>personal cheque at the time the expenses are submitted.</w:t>
      </w:r>
    </w:p>
    <w:p w:rsidR="00DC2E8A" w:rsidRDefault="00DC2E8A" w:rsidP="00DC2E8A">
      <w:pPr>
        <w:pStyle w:val="FAPPPolicyParaAwithNoNumber"/>
      </w:pPr>
      <w:r>
        <w:t>(f)</w:t>
      </w:r>
      <w:r>
        <w:tab/>
        <w:t xml:space="preserve">Where an employee is regularly required to take out expense advances, a limited credit card </w:t>
      </w:r>
      <w:proofErr w:type="gramStart"/>
      <w:r>
        <w:t>should be considered</w:t>
      </w:r>
      <w:proofErr w:type="gramEnd"/>
      <w:r>
        <w:t xml:space="preserve"> as an alternative.</w:t>
      </w:r>
    </w:p>
    <w:p w:rsidR="005A7290" w:rsidRPr="00DA02FC" w:rsidRDefault="005A7290" w:rsidP="00DC2E8A">
      <w:pPr>
        <w:pStyle w:val="FAPPPolicyParaAwithNoNumber"/>
      </w:pPr>
      <w:r w:rsidRPr="00DA02FC">
        <w:t>(g)</w:t>
      </w:r>
      <w:r w:rsidRPr="00DA02FC">
        <w:tab/>
        <w:t xml:space="preserve">Expenses for a group are to </w:t>
      </w:r>
      <w:proofErr w:type="gramStart"/>
      <w:r w:rsidRPr="00DA02FC">
        <w:t>be submitted</w:t>
      </w:r>
      <w:proofErr w:type="gramEnd"/>
      <w:r w:rsidRPr="00DA02FC">
        <w:t xml:space="preserve"> by the most senior person present.</w:t>
      </w:r>
    </w:p>
    <w:p w:rsidR="005A7290" w:rsidRDefault="005A7290" w:rsidP="00DC2E8A">
      <w:pPr>
        <w:pStyle w:val="FAPPPolicyParaAwithNoNumber"/>
      </w:pPr>
      <w:r w:rsidRPr="00DA02FC">
        <w:t>(h)</w:t>
      </w:r>
      <w:r w:rsidRPr="00DA02FC">
        <w:tab/>
        <w:t>Senior management may not approve their own expenditures for reimbursement.</w:t>
      </w:r>
    </w:p>
    <w:p w:rsidR="00982FEF" w:rsidRPr="00DC2DF4" w:rsidRDefault="00982FEF" w:rsidP="00DC2E8A">
      <w:pPr>
        <w:pStyle w:val="FAPPPolicyParaAwithNoNumber"/>
      </w:pPr>
      <w:r w:rsidRPr="00DC2DF4">
        <w:t>(</w:t>
      </w:r>
      <w:proofErr w:type="spellStart"/>
      <w:r w:rsidRPr="00DC2DF4">
        <w:t>i</w:t>
      </w:r>
      <w:proofErr w:type="spellEnd"/>
      <w:r w:rsidRPr="00DC2DF4">
        <w:t>)</w:t>
      </w:r>
      <w:r w:rsidRPr="00DC2DF4">
        <w:tab/>
        <w:t>Any single occasion expense of the Executive Director over $</w:t>
      </w:r>
      <w:r w:rsidR="00AE36B8">
        <w:t xml:space="preserve">1,000 </w:t>
      </w:r>
      <w:r w:rsidRPr="00DC2DF4">
        <w:t xml:space="preserve">is to </w:t>
      </w:r>
      <w:proofErr w:type="gramStart"/>
      <w:r w:rsidRPr="00DC2DF4">
        <w:t>be approved</w:t>
      </w:r>
      <w:proofErr w:type="gramEnd"/>
      <w:r w:rsidRPr="00DC2DF4">
        <w:t xml:space="preserve"> by a member of the Executive of the Board of Directors.  All other expenses are to </w:t>
      </w:r>
      <w:proofErr w:type="gramStart"/>
      <w:r w:rsidRPr="00DC2DF4">
        <w:t>be approved</w:t>
      </w:r>
      <w:proofErr w:type="gramEnd"/>
      <w:r w:rsidRPr="00DC2DF4">
        <w:t xml:space="preserve"> by the Director of Corporate Services.</w:t>
      </w:r>
    </w:p>
    <w:p w:rsidR="00DC2E8A" w:rsidRDefault="00DC2E8A">
      <w:pPr>
        <w:pStyle w:val="FAPPPolicyParaAwithNoNumber"/>
      </w:pPr>
    </w:p>
    <w:p w:rsidR="00DC2E8A" w:rsidRDefault="00DC2E8A" w:rsidP="00DC2E8A">
      <w:pPr>
        <w:pStyle w:val="FAPPPolicyParawithNumber"/>
      </w:pPr>
      <w:r>
        <w:t>7.03</w:t>
      </w:r>
      <w:r>
        <w:tab/>
      </w:r>
      <w:r>
        <w:rPr>
          <w:b/>
          <w:bCs/>
        </w:rPr>
        <w:t>Entertainment</w:t>
      </w:r>
    </w:p>
    <w:p w:rsidR="00DC2E8A" w:rsidRDefault="00DC2E8A" w:rsidP="00DC2E8A">
      <w:pPr>
        <w:pStyle w:val="PolicyParaAwithNoNumber"/>
      </w:pPr>
    </w:p>
    <w:p w:rsidR="00DC2E8A" w:rsidRPr="00DA02FC" w:rsidRDefault="00AD0075" w:rsidP="000E17B1">
      <w:pPr>
        <w:pStyle w:val="PolicyParaAwithNoNumber"/>
        <w:numPr>
          <w:ilvl w:val="0"/>
          <w:numId w:val="12"/>
        </w:numPr>
        <w:ind w:left="1454" w:hanging="547"/>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00DC2E8A">
        <w:rPr>
          <w:sz w:val="22"/>
          <w:szCs w:val="22"/>
        </w:rPr>
        <w:t xml:space="preserve">The </w:t>
      </w:r>
      <w:r w:rsidR="003B12FE">
        <w:rPr>
          <w:b/>
          <w:sz w:val="22"/>
          <w:szCs w:val="22"/>
        </w:rPr>
        <w:t>E</w:t>
      </w:r>
      <w:r w:rsidR="00DC2E8A" w:rsidRPr="003B12FE">
        <w:rPr>
          <w:b/>
          <w:sz w:val="22"/>
          <w:szCs w:val="22"/>
        </w:rPr>
        <w:t xml:space="preserve">xecutive </w:t>
      </w:r>
      <w:r w:rsidR="003B12FE">
        <w:rPr>
          <w:b/>
          <w:sz w:val="22"/>
          <w:szCs w:val="22"/>
        </w:rPr>
        <w:t>D</w:t>
      </w:r>
      <w:r w:rsidR="00DC2E8A" w:rsidRPr="003B12FE">
        <w:rPr>
          <w:b/>
          <w:sz w:val="22"/>
          <w:szCs w:val="22"/>
        </w:rPr>
        <w:t xml:space="preserve">irector, </w:t>
      </w:r>
      <w:r w:rsidR="003B12FE">
        <w:rPr>
          <w:b/>
          <w:sz w:val="22"/>
          <w:szCs w:val="22"/>
        </w:rPr>
        <w:t>D</w:t>
      </w:r>
      <w:r w:rsidR="00DC2E8A" w:rsidRPr="003B12FE">
        <w:rPr>
          <w:b/>
          <w:sz w:val="22"/>
          <w:szCs w:val="22"/>
        </w:rPr>
        <w:t>irectors</w:t>
      </w:r>
      <w:r w:rsidR="006957B8">
        <w:rPr>
          <w:b/>
          <w:sz w:val="22"/>
          <w:szCs w:val="22"/>
        </w:rPr>
        <w:t>, Facilities</w:t>
      </w:r>
      <w:r w:rsidR="003B12FE">
        <w:rPr>
          <w:b/>
          <w:sz w:val="22"/>
          <w:szCs w:val="22"/>
        </w:rPr>
        <w:t xml:space="preserve"> Manager</w:t>
      </w:r>
      <w:r w:rsidR="00DC2E8A" w:rsidRPr="003B12FE">
        <w:rPr>
          <w:b/>
          <w:sz w:val="22"/>
          <w:szCs w:val="22"/>
        </w:rPr>
        <w:t xml:space="preserve"> and </w:t>
      </w:r>
      <w:r w:rsidR="003B12FE">
        <w:rPr>
          <w:b/>
          <w:sz w:val="22"/>
          <w:szCs w:val="22"/>
        </w:rPr>
        <w:t>C</w:t>
      </w:r>
      <w:r w:rsidR="00DC2E8A" w:rsidRPr="003B12FE">
        <w:rPr>
          <w:b/>
          <w:sz w:val="22"/>
          <w:szCs w:val="22"/>
        </w:rPr>
        <w:t xml:space="preserve">ommunity </w:t>
      </w:r>
      <w:r w:rsidR="003B12FE">
        <w:rPr>
          <w:b/>
          <w:sz w:val="22"/>
          <w:szCs w:val="22"/>
        </w:rPr>
        <w:t>R</w:t>
      </w:r>
      <w:r w:rsidR="00DC2E8A" w:rsidRPr="003B12FE">
        <w:rPr>
          <w:b/>
          <w:sz w:val="22"/>
          <w:szCs w:val="22"/>
        </w:rPr>
        <w:t>elation</w:t>
      </w:r>
      <w:r w:rsidR="00AE36B8">
        <w:rPr>
          <w:b/>
          <w:sz w:val="22"/>
          <w:szCs w:val="22"/>
        </w:rPr>
        <w:t>s</w:t>
      </w:r>
      <w:r w:rsidR="00DC2E8A" w:rsidRPr="003B12FE">
        <w:rPr>
          <w:b/>
          <w:sz w:val="22"/>
          <w:szCs w:val="22"/>
        </w:rPr>
        <w:t xml:space="preserve"> </w:t>
      </w:r>
      <w:r w:rsidR="003B12FE">
        <w:rPr>
          <w:b/>
          <w:sz w:val="22"/>
          <w:szCs w:val="22"/>
        </w:rPr>
        <w:t>M</w:t>
      </w:r>
      <w:r w:rsidR="00DC2E8A" w:rsidRPr="003B12FE">
        <w:rPr>
          <w:b/>
          <w:sz w:val="22"/>
          <w:szCs w:val="22"/>
        </w:rPr>
        <w:t xml:space="preserve">anager </w:t>
      </w:r>
      <w:r w:rsidR="00DC2E8A">
        <w:rPr>
          <w:sz w:val="22"/>
          <w:szCs w:val="22"/>
        </w:rPr>
        <w:t xml:space="preserve">may be required to participate in donor/customer entertainment activities such as meals, social events, golf tournaments and the like for customer </w:t>
      </w:r>
      <w:r w:rsidR="00DC2E8A" w:rsidRPr="00DA02FC">
        <w:rPr>
          <w:sz w:val="22"/>
          <w:szCs w:val="22"/>
        </w:rPr>
        <w:t>relations purpos</w:t>
      </w:r>
      <w:r w:rsidR="00581A40" w:rsidRPr="00DA02FC">
        <w:rPr>
          <w:sz w:val="22"/>
          <w:szCs w:val="22"/>
        </w:rPr>
        <w:t>es and</w:t>
      </w:r>
      <w:r w:rsidRPr="00DA02FC">
        <w:rPr>
          <w:sz w:val="22"/>
          <w:szCs w:val="22"/>
        </w:rPr>
        <w:t xml:space="preserve"> qualify for reimbursement.</w:t>
      </w:r>
    </w:p>
    <w:p w:rsidR="00982FEF" w:rsidRDefault="00AB1EB0" w:rsidP="00AB1EB0">
      <w:pPr>
        <w:pStyle w:val="PolicyParaAwithNoNumber"/>
        <w:rPr>
          <w:sz w:val="22"/>
          <w:szCs w:val="22"/>
        </w:rPr>
      </w:pPr>
      <w:r>
        <w:rPr>
          <w:sz w:val="22"/>
          <w:szCs w:val="22"/>
        </w:rPr>
        <w:tab/>
      </w:r>
      <w:r w:rsidR="00982FEF">
        <w:rPr>
          <w:sz w:val="22"/>
          <w:szCs w:val="22"/>
        </w:rPr>
        <w:t>(ii)</w:t>
      </w:r>
      <w:r w:rsidR="00982FEF">
        <w:rPr>
          <w:sz w:val="22"/>
          <w:szCs w:val="22"/>
        </w:rPr>
        <w:tab/>
        <w:t xml:space="preserve">Hospitality </w:t>
      </w:r>
      <w:proofErr w:type="gramStart"/>
      <w:r w:rsidR="00982FEF">
        <w:rPr>
          <w:sz w:val="22"/>
          <w:szCs w:val="22"/>
        </w:rPr>
        <w:t>may be extended</w:t>
      </w:r>
      <w:proofErr w:type="gramEnd"/>
      <w:r w:rsidR="00982FEF">
        <w:rPr>
          <w:sz w:val="22"/>
          <w:szCs w:val="22"/>
        </w:rPr>
        <w:t xml:space="preserve"> when it facilitates agency business and if it is considered</w:t>
      </w:r>
      <w:r w:rsidR="000E17B1">
        <w:rPr>
          <w:sz w:val="22"/>
          <w:szCs w:val="22"/>
        </w:rPr>
        <w:t xml:space="preserve"> desirable as a matter of courtesy.</w:t>
      </w:r>
    </w:p>
    <w:p w:rsidR="00DC2DF4" w:rsidRDefault="00DC2DF4" w:rsidP="00E36436">
      <w:pPr>
        <w:pStyle w:val="PolicyParaAwithNoNumber"/>
        <w:numPr>
          <w:ilvl w:val="0"/>
          <w:numId w:val="12"/>
        </w:numPr>
        <w:ind w:left="1440" w:hanging="533"/>
        <w:rPr>
          <w:sz w:val="22"/>
          <w:szCs w:val="22"/>
        </w:rPr>
      </w:pPr>
      <w:r>
        <w:rPr>
          <w:sz w:val="22"/>
          <w:szCs w:val="22"/>
        </w:rPr>
        <w:t xml:space="preserve">On occasion staff recognition events </w:t>
      </w:r>
      <w:proofErr w:type="gramStart"/>
      <w:r>
        <w:rPr>
          <w:sz w:val="22"/>
          <w:szCs w:val="22"/>
        </w:rPr>
        <w:t>may be held</w:t>
      </w:r>
      <w:proofErr w:type="gramEnd"/>
      <w:r>
        <w:rPr>
          <w:sz w:val="22"/>
          <w:szCs w:val="22"/>
        </w:rPr>
        <w:t xml:space="preserve"> upon the approval of the Executive Director.  A sound business case must be made and expenses</w:t>
      </w:r>
      <w:r w:rsidR="00E36436">
        <w:rPr>
          <w:sz w:val="22"/>
          <w:szCs w:val="22"/>
        </w:rPr>
        <w:t xml:space="preserve"> shall be conservative with due consideration for the prudent use of agency funds.</w:t>
      </w:r>
      <w:bookmarkStart w:id="0" w:name="_GoBack"/>
      <w:bookmarkEnd w:id="0"/>
    </w:p>
    <w:p w:rsidR="00AD0075" w:rsidRPr="00DA02FC" w:rsidRDefault="00AD0075" w:rsidP="00F07BB5">
      <w:pPr>
        <w:pStyle w:val="PolicyParaAwithNoNumber"/>
        <w:numPr>
          <w:ilvl w:val="0"/>
          <w:numId w:val="12"/>
        </w:numPr>
        <w:ind w:left="1454" w:hanging="547"/>
        <w:rPr>
          <w:sz w:val="22"/>
          <w:szCs w:val="22"/>
        </w:rPr>
      </w:pPr>
      <w:r w:rsidRPr="00DA02FC">
        <w:rPr>
          <w:sz w:val="22"/>
          <w:szCs w:val="22"/>
        </w:rPr>
        <w:t xml:space="preserve">Expenses for alcohol cannot be charged to </w:t>
      </w:r>
      <w:proofErr w:type="gramStart"/>
      <w:r w:rsidRPr="00DA02FC">
        <w:rPr>
          <w:sz w:val="22"/>
          <w:szCs w:val="22"/>
        </w:rPr>
        <w:t>ministry funded</w:t>
      </w:r>
      <w:proofErr w:type="gramEnd"/>
      <w:r w:rsidRPr="00DA02FC">
        <w:rPr>
          <w:sz w:val="22"/>
          <w:szCs w:val="22"/>
        </w:rPr>
        <w:t xml:space="preserve"> program</w:t>
      </w:r>
      <w:r w:rsidRPr="00DC2DF4">
        <w:rPr>
          <w:sz w:val="22"/>
          <w:szCs w:val="22"/>
        </w:rPr>
        <w:t>s</w:t>
      </w:r>
      <w:r w:rsidR="00DC2DF4" w:rsidRPr="00DC2DF4">
        <w:rPr>
          <w:sz w:val="22"/>
          <w:szCs w:val="22"/>
        </w:rPr>
        <w:t>.</w:t>
      </w:r>
    </w:p>
    <w:p w:rsidR="002E53BB" w:rsidRPr="00DA02FC" w:rsidRDefault="002E53BB">
      <w:pPr>
        <w:pStyle w:val="FAPPPolicyParaAwithNoNumber"/>
      </w:pPr>
    </w:p>
    <w:p w:rsidR="00581A40" w:rsidRDefault="00581A40">
      <w:pPr>
        <w:pStyle w:val="FAPPPolicyParaAwithNoNumber"/>
      </w:pPr>
    </w:p>
    <w:p w:rsidR="009163F5" w:rsidRDefault="009163F5">
      <w:pPr>
        <w:pStyle w:val="FAPPPolicyParawithNumber"/>
      </w:pPr>
      <w:r>
        <w:t>7.04</w:t>
      </w:r>
      <w:r>
        <w:tab/>
      </w:r>
      <w:r>
        <w:rPr>
          <w:b/>
          <w:bCs/>
        </w:rPr>
        <w:t>Expense Allowances</w:t>
      </w:r>
    </w:p>
    <w:p w:rsidR="009163F5" w:rsidRDefault="009163F5">
      <w:pPr>
        <w:pStyle w:val="FAPPPolicyParaAwithNoNumber"/>
      </w:pPr>
    </w:p>
    <w:p w:rsidR="009163F5" w:rsidRDefault="009163F5">
      <w:pPr>
        <w:pStyle w:val="FAPPPolicyParaAwithNoNumber"/>
        <w:rPr>
          <w:b/>
          <w:bCs/>
        </w:rPr>
      </w:pPr>
      <w:r>
        <w:t>(a)</w:t>
      </w:r>
      <w:r>
        <w:tab/>
        <w:t xml:space="preserve">Expense allowances </w:t>
      </w:r>
      <w:proofErr w:type="gramStart"/>
      <w:r>
        <w:t>are not permitted</w:t>
      </w:r>
      <w:proofErr w:type="gramEnd"/>
      <w:r>
        <w:t>.  The company does reimburse actual expenses that are properly authorized and documented and that otherwise conform to the required policies.</w:t>
      </w:r>
    </w:p>
    <w:p w:rsidR="009163F5" w:rsidRDefault="009163F5">
      <w:pPr>
        <w:pStyle w:val="FAPPPolicyPara"/>
      </w:pPr>
    </w:p>
    <w:p w:rsidR="009163F5" w:rsidRDefault="009163F5">
      <w:pPr>
        <w:pStyle w:val="FAPPPolicyPara"/>
      </w:pPr>
    </w:p>
    <w:p w:rsidR="009163F5" w:rsidRDefault="009163F5">
      <w:pPr>
        <w:pStyle w:val="FAPPPolicyHead1"/>
      </w:pPr>
      <w:r>
        <w:t>8</w:t>
      </w:r>
      <w:r>
        <w:tab/>
        <w:t>ATTACHMENTS</w:t>
      </w:r>
    </w:p>
    <w:sectPr w:rsidR="009163F5" w:rsidSect="00AC68DE">
      <w:headerReference w:type="even" r:id="rId8"/>
      <w:headerReference w:type="default" r:id="rId9"/>
      <w:footerReference w:type="default" r:id="rId10"/>
      <w:type w:val="continuous"/>
      <w:pgSz w:w="12240" w:h="15840"/>
      <w:pgMar w:top="1440" w:right="1080" w:bottom="1440" w:left="108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DF4" w:rsidRDefault="00DC2DF4">
      <w:r>
        <w:separator/>
      </w:r>
    </w:p>
  </w:endnote>
  <w:endnote w:type="continuationSeparator" w:id="0">
    <w:p w:rsidR="00DC2DF4" w:rsidRDefault="00DC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8DE" w:rsidRDefault="00831663" w:rsidP="00AC68DE">
    <w:pPr>
      <w:pStyle w:val="Footer"/>
    </w:pPr>
    <w:r>
      <w:rPr>
        <w:noProof/>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113030</wp:posOffset>
              </wp:positionV>
              <wp:extent cx="5486400" cy="0"/>
              <wp:effectExtent l="9525" t="8255" r="9525" b="10795"/>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8206D"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6in,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" strokeweight="1.25pt">
              <w10:wrap type="topAndBottom"/>
            </v:line>
          </w:pict>
        </mc:Fallback>
      </mc:AlternateContent>
    </w:r>
  </w:p>
  <w:p w:rsidR="00AC68DE" w:rsidRDefault="00AC68DE" w:rsidP="00AC68DE">
    <w:pPr>
      <w:pStyle w:val="Footer"/>
    </w:pPr>
    <w:r>
      <w:rPr>
        <w:i/>
        <w:iCs/>
      </w:rPr>
      <w:t xml:space="preserve">Finance and Accounting </w:t>
    </w:r>
    <w:proofErr w:type="spellStart"/>
    <w:r>
      <w:rPr>
        <w:i/>
        <w:iCs/>
      </w:rPr>
      <w:t>PolicyPro</w:t>
    </w:r>
    <w:proofErr w:type="spellEnd"/>
    <w:r>
      <w:tab/>
    </w:r>
    <w:r>
      <w:tab/>
      <w:t>2.04-</w:t>
    </w:r>
    <w:r>
      <w:rPr>
        <w:rStyle w:val="PageNumber"/>
      </w:rPr>
      <w:fldChar w:fldCharType="begin"/>
    </w:r>
    <w:r>
      <w:rPr>
        <w:rStyle w:val="PageNumber"/>
      </w:rPr>
      <w:instrText xml:space="preserve"> PAGE </w:instrText>
    </w:r>
    <w:r>
      <w:rPr>
        <w:rStyle w:val="PageNumber"/>
      </w:rPr>
      <w:fldChar w:fldCharType="separate"/>
    </w:r>
    <w:r w:rsidR="006957B8">
      <w:rPr>
        <w:rStyle w:val="PageNumber"/>
        <w:noProof/>
      </w:rPr>
      <w:t>2</w:t>
    </w:r>
    <w:r>
      <w:rPr>
        <w:rStyle w:val="PageNumber"/>
      </w:rPr>
      <w:fldChar w:fldCharType="end"/>
    </w:r>
  </w:p>
  <w:p w:rsidR="00AC68DE" w:rsidRDefault="00AC6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DF4" w:rsidRDefault="00DC2DF4">
      <w:r>
        <w:separator/>
      </w:r>
    </w:p>
  </w:footnote>
  <w:footnote w:type="continuationSeparator" w:id="0">
    <w:p w:rsidR="00DC2DF4" w:rsidRDefault="00DC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3BF" w:rsidRDefault="006923BF">
    <w:pPr>
      <w:pStyle w:val="Header"/>
    </w:pPr>
  </w:p>
  <w:tbl>
    <w:tblPr>
      <w:tblW w:w="9000" w:type="dxa"/>
      <w:tblInd w:w="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4A0" w:firstRow="1" w:lastRow="0" w:firstColumn="1" w:lastColumn="0" w:noHBand="0" w:noVBand="1"/>
    </w:tblPr>
    <w:tblGrid>
      <w:gridCol w:w="1190"/>
      <w:gridCol w:w="5209"/>
      <w:gridCol w:w="1157"/>
      <w:gridCol w:w="1444"/>
    </w:tblGrid>
    <w:tr w:rsidR="006923BF" w:rsidTr="0030290C">
      <w:trPr>
        <w:cantSplit/>
        <w:trHeight w:val="408"/>
      </w:trPr>
      <w:tc>
        <w:tcPr>
          <w:tcW w:w="9000" w:type="dxa"/>
          <w:gridSpan w:val="4"/>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B"/>
          </w:pPr>
          <w:r>
            <w:t>OPERATIONAL POLICY and PROCEDURE STATEMENT</w:t>
          </w:r>
        </w:p>
      </w:tc>
    </w:tr>
    <w:tr w:rsidR="006923BF" w:rsidTr="0030290C">
      <w:trPr>
        <w:cantSplit/>
        <w:trHeight w:hRule="exact" w:val="408"/>
      </w:trPr>
      <w:tc>
        <w:tcPr>
          <w:tcW w:w="1190"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Manual:</w:t>
          </w:r>
        </w:p>
      </w:tc>
      <w:tc>
        <w:tcPr>
          <w:tcW w:w="5209"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C"/>
          </w:pPr>
          <w:r>
            <w:t>Finance and Accounting</w:t>
          </w:r>
        </w:p>
      </w:tc>
      <w:tc>
        <w:tcPr>
          <w:tcW w:w="1157"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SPP No.</w:t>
          </w:r>
        </w:p>
      </w:tc>
      <w:tc>
        <w:tcPr>
          <w:tcW w:w="1444"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B"/>
          </w:pPr>
          <w:r>
            <w:t>FN 2.04</w:t>
          </w:r>
        </w:p>
      </w:tc>
    </w:tr>
    <w:tr w:rsidR="006923BF" w:rsidTr="0030290C">
      <w:trPr>
        <w:cantSplit/>
        <w:trHeight w:hRule="exact" w:val="408"/>
      </w:trPr>
      <w:tc>
        <w:tcPr>
          <w:tcW w:w="1190"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Section:</w:t>
          </w:r>
        </w:p>
      </w:tc>
      <w:tc>
        <w:tcPr>
          <w:tcW w:w="5209"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C"/>
          </w:pPr>
          <w:r>
            <w:t>Purchasing Cycle</w:t>
          </w:r>
        </w:p>
      </w:tc>
      <w:tc>
        <w:tcPr>
          <w:tcW w:w="1157"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Issued:</w:t>
          </w:r>
        </w:p>
      </w:tc>
      <w:tc>
        <w:tcPr>
          <w:tcW w:w="1444" w:type="dxa"/>
          <w:tcBorders>
            <w:top w:val="single" w:sz="8" w:space="0" w:color="000000"/>
            <w:left w:val="single" w:sz="8" w:space="0" w:color="000000"/>
            <w:bottom w:val="single" w:sz="8" w:space="0" w:color="000000"/>
            <w:right w:val="single" w:sz="8" w:space="0" w:color="000000"/>
          </w:tcBorders>
          <w:hideMark/>
        </w:tcPr>
        <w:p w:rsidR="006923BF" w:rsidRDefault="006923BF" w:rsidP="0030290C">
          <w:pPr>
            <w:pStyle w:val="FHC"/>
          </w:pPr>
          <w:r>
            <w:t>Oct</w:t>
          </w:r>
          <w:r w:rsidRPr="007F1C33">
            <w:t>.</w:t>
          </w:r>
          <w:r>
            <w:t xml:space="preserve"> 6, 2010</w:t>
          </w:r>
        </w:p>
        <w:p w:rsidR="006923BF" w:rsidRPr="008C3EE9" w:rsidRDefault="006923BF" w:rsidP="0030290C">
          <w:pPr>
            <w:pStyle w:val="FHC"/>
          </w:pPr>
        </w:p>
      </w:tc>
    </w:tr>
    <w:tr w:rsidR="006923BF" w:rsidTr="0030290C">
      <w:trPr>
        <w:cantSplit/>
        <w:trHeight w:hRule="exact" w:val="408"/>
      </w:trPr>
      <w:tc>
        <w:tcPr>
          <w:tcW w:w="1190"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Subject:</w:t>
          </w:r>
        </w:p>
      </w:tc>
      <w:tc>
        <w:tcPr>
          <w:tcW w:w="5209"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B"/>
          </w:pPr>
          <w:r>
            <w:t>EXPENSE ADVANCES AND ALLOWANCES</w:t>
          </w:r>
        </w:p>
      </w:tc>
      <w:tc>
        <w:tcPr>
          <w:tcW w:w="1157"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Effective:</w:t>
          </w:r>
        </w:p>
      </w:tc>
      <w:tc>
        <w:tcPr>
          <w:tcW w:w="1444" w:type="dxa"/>
          <w:tcBorders>
            <w:top w:val="single" w:sz="8" w:space="0" w:color="000000"/>
            <w:left w:val="single" w:sz="8" w:space="0" w:color="000000"/>
            <w:bottom w:val="single" w:sz="8" w:space="0" w:color="000000"/>
            <w:right w:val="single" w:sz="8" w:space="0" w:color="000000"/>
          </w:tcBorders>
          <w:hideMark/>
        </w:tcPr>
        <w:p w:rsidR="006923BF" w:rsidRDefault="006923BF" w:rsidP="0030290C">
          <w:pPr>
            <w:pStyle w:val="FHC"/>
          </w:pPr>
          <w:r>
            <w:t>Jun. 21, 2016</w:t>
          </w:r>
        </w:p>
        <w:p w:rsidR="006923BF" w:rsidRDefault="006923BF" w:rsidP="0030290C">
          <w:pPr>
            <w:pStyle w:val="FHC"/>
          </w:pPr>
        </w:p>
        <w:p w:rsidR="006923BF" w:rsidRPr="008C3EE9" w:rsidRDefault="006923BF" w:rsidP="0030290C">
          <w:pPr>
            <w:pStyle w:val="FHC"/>
          </w:pPr>
        </w:p>
      </w:tc>
    </w:tr>
    <w:tr w:rsidR="006923BF" w:rsidTr="0030290C">
      <w:trPr>
        <w:cantSplit/>
        <w:trHeight w:hRule="exact" w:val="408"/>
      </w:trPr>
      <w:tc>
        <w:tcPr>
          <w:tcW w:w="1190" w:type="dxa"/>
          <w:vMerge w:val="restart"/>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Issue to:</w:t>
          </w:r>
        </w:p>
      </w:tc>
      <w:tc>
        <w:tcPr>
          <w:tcW w:w="5209" w:type="dxa"/>
          <w:vMerge w:val="restart"/>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C"/>
          </w:pPr>
          <w:r>
            <w:t>All Manual Holders</w:t>
          </w:r>
        </w:p>
      </w:tc>
      <w:tc>
        <w:tcPr>
          <w:tcW w:w="1157" w:type="dxa"/>
          <w:tcBorders>
            <w:top w:val="single" w:sz="8" w:space="0" w:color="000000"/>
            <w:left w:val="single" w:sz="8" w:space="0" w:color="000000"/>
            <w:bottom w:val="double" w:sz="6" w:space="0" w:color="000000"/>
            <w:right w:val="single" w:sz="8" w:space="0" w:color="000000"/>
          </w:tcBorders>
          <w:vAlign w:val="center"/>
          <w:hideMark/>
        </w:tcPr>
        <w:p w:rsidR="006923BF" w:rsidRDefault="006923BF" w:rsidP="0030290C">
          <w:pPr>
            <w:pStyle w:val="FHL"/>
          </w:pPr>
          <w:r>
            <w:t xml:space="preserve">Page: </w:t>
          </w:r>
        </w:p>
      </w:tc>
      <w:tc>
        <w:tcPr>
          <w:tcW w:w="1444" w:type="dxa"/>
          <w:tcBorders>
            <w:top w:val="single" w:sz="8" w:space="0" w:color="000000"/>
            <w:left w:val="single" w:sz="8" w:space="0" w:color="000000"/>
            <w:bottom w:val="double" w:sz="6" w:space="0" w:color="000000"/>
            <w:right w:val="single" w:sz="8" w:space="0" w:color="000000"/>
          </w:tcBorders>
          <w:vAlign w:val="center"/>
          <w:hideMark/>
        </w:tcPr>
        <w:p w:rsidR="006923BF" w:rsidRDefault="00685F82" w:rsidP="0030290C">
          <w:pPr>
            <w:pStyle w:val="FHC"/>
            <w:rPr>
              <w:rFonts w:cs="Arial"/>
            </w:rPr>
          </w:pPr>
          <w:r>
            <w:rPr>
              <w:rStyle w:val="PageNumber"/>
              <w:rFonts w:cs="Arial"/>
            </w:rPr>
            <w:fldChar w:fldCharType="begin"/>
          </w:r>
          <w:r w:rsidR="006923BF">
            <w:rPr>
              <w:rStyle w:val="PageNumber"/>
              <w:rFonts w:cs="Arial"/>
            </w:rPr>
            <w:instrText xml:space="preserve"> PAGE </w:instrText>
          </w:r>
          <w:r>
            <w:rPr>
              <w:rStyle w:val="PageNumber"/>
              <w:rFonts w:cs="Arial"/>
            </w:rPr>
            <w:fldChar w:fldCharType="separate"/>
          </w:r>
          <w:r w:rsidR="00AC68DE">
            <w:rPr>
              <w:rStyle w:val="PageNumber"/>
              <w:rFonts w:cs="Arial"/>
              <w:noProof/>
            </w:rPr>
            <w:t>2</w:t>
          </w:r>
          <w:r>
            <w:rPr>
              <w:rStyle w:val="PageNumber"/>
              <w:rFonts w:cs="Arial"/>
            </w:rPr>
            <w:fldChar w:fldCharType="end"/>
          </w:r>
          <w:r w:rsidR="006923BF">
            <w:rPr>
              <w:rStyle w:val="PageNumber"/>
              <w:rFonts w:cs="Arial"/>
            </w:rPr>
            <w:t xml:space="preserve"> of 3</w:t>
          </w:r>
        </w:p>
      </w:tc>
    </w:tr>
    <w:tr w:rsidR="006923BF" w:rsidTr="0030290C">
      <w:trPr>
        <w:cantSplit/>
        <w:trHeight w:hRule="exact" w:val="408"/>
      </w:trPr>
      <w:tc>
        <w:tcPr>
          <w:tcW w:w="1190" w:type="dxa"/>
          <w:vMerge/>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rPr>
              <w:rFonts w:ascii="Arial" w:hAnsi="Arial"/>
              <w:sz w:val="20"/>
              <w:szCs w:val="20"/>
              <w:lang w:val="en-CA"/>
            </w:rPr>
          </w:pPr>
        </w:p>
      </w:tc>
      <w:tc>
        <w:tcPr>
          <w:tcW w:w="5209" w:type="dxa"/>
          <w:vMerge/>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rPr>
              <w:rFonts w:ascii="Arial" w:hAnsi="Arial"/>
              <w:sz w:val="20"/>
              <w:szCs w:val="20"/>
              <w:lang w:val="en-CA"/>
            </w:rPr>
          </w:pPr>
        </w:p>
      </w:tc>
      <w:tc>
        <w:tcPr>
          <w:tcW w:w="1157" w:type="dxa"/>
          <w:tcBorders>
            <w:top w:val="double" w:sz="6" w:space="0" w:color="000000"/>
            <w:left w:val="double" w:sz="6" w:space="0" w:color="000000"/>
            <w:bottom w:val="single" w:sz="8" w:space="0" w:color="000000"/>
            <w:right w:val="single" w:sz="8" w:space="0" w:color="000000"/>
          </w:tcBorders>
          <w:vAlign w:val="center"/>
          <w:hideMark/>
        </w:tcPr>
        <w:p w:rsidR="006923BF" w:rsidRDefault="006923BF" w:rsidP="0030290C">
          <w:pPr>
            <w:pStyle w:val="FHL"/>
          </w:pPr>
          <w:r>
            <w:t>Replaces:</w:t>
          </w:r>
        </w:p>
      </w:tc>
      <w:tc>
        <w:tcPr>
          <w:tcW w:w="1444" w:type="dxa"/>
          <w:tcBorders>
            <w:top w:val="double" w:sz="6" w:space="0" w:color="000000"/>
            <w:left w:val="single" w:sz="8" w:space="0" w:color="000000"/>
            <w:bottom w:val="single" w:sz="8" w:space="0" w:color="000000"/>
            <w:right w:val="single" w:sz="8" w:space="0" w:color="000000"/>
          </w:tcBorders>
          <w:vAlign w:val="center"/>
          <w:hideMark/>
        </w:tcPr>
        <w:p w:rsidR="006923BF" w:rsidRDefault="006923BF" w:rsidP="0030290C">
          <w:pPr>
            <w:pStyle w:val="FHB"/>
          </w:pPr>
        </w:p>
      </w:tc>
    </w:tr>
    <w:tr w:rsidR="006923BF" w:rsidTr="0030290C">
      <w:trPr>
        <w:cantSplit/>
        <w:trHeight w:hRule="exact" w:val="408"/>
      </w:trPr>
      <w:tc>
        <w:tcPr>
          <w:tcW w:w="1190"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Issued by:</w:t>
          </w:r>
        </w:p>
      </w:tc>
      <w:tc>
        <w:tcPr>
          <w:tcW w:w="5209" w:type="dxa"/>
          <w:tcBorders>
            <w:top w:val="single" w:sz="8" w:space="0" w:color="000000"/>
            <w:left w:val="single" w:sz="8" w:space="0" w:color="000000"/>
            <w:bottom w:val="single" w:sz="8" w:space="0" w:color="000000"/>
            <w:right w:val="double" w:sz="6" w:space="0" w:color="000000"/>
          </w:tcBorders>
          <w:vAlign w:val="center"/>
        </w:tcPr>
        <w:p w:rsidR="006923BF" w:rsidRDefault="006923BF" w:rsidP="0030290C">
          <w:pPr>
            <w:pStyle w:val="FHC"/>
          </w:pPr>
          <w:r>
            <w:t>Director of Finance and Administration</w:t>
          </w:r>
        </w:p>
      </w:tc>
      <w:tc>
        <w:tcPr>
          <w:tcW w:w="1157" w:type="dxa"/>
          <w:tcBorders>
            <w:top w:val="single" w:sz="8" w:space="0" w:color="000000"/>
            <w:left w:val="double" w:sz="6" w:space="0" w:color="000000"/>
            <w:bottom w:val="single" w:sz="8" w:space="0" w:color="000000"/>
            <w:right w:val="single" w:sz="8" w:space="0" w:color="000000"/>
          </w:tcBorders>
          <w:vAlign w:val="center"/>
          <w:hideMark/>
        </w:tcPr>
        <w:p w:rsidR="006923BF" w:rsidRDefault="006923BF" w:rsidP="0030290C">
          <w:pPr>
            <w:pStyle w:val="FHL"/>
          </w:pPr>
          <w:r>
            <w:t>Dated:</w:t>
          </w:r>
        </w:p>
      </w:tc>
      <w:tc>
        <w:tcPr>
          <w:tcW w:w="1444"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C"/>
          </w:pPr>
          <w:r>
            <w:t>Jun. 23, 2014</w:t>
          </w:r>
        </w:p>
      </w:tc>
    </w:tr>
  </w:tbl>
  <w:p w:rsidR="006923BF" w:rsidRDefault="006923BF">
    <w:pPr>
      <w:pStyle w:val="Header"/>
    </w:pPr>
  </w:p>
  <w:p w:rsidR="006923BF" w:rsidRDefault="00692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3BF" w:rsidRDefault="006923BF">
    <w:pPr>
      <w:pStyle w:val="Header"/>
    </w:pPr>
  </w:p>
  <w:tbl>
    <w:tblPr>
      <w:tblW w:w="9000" w:type="dxa"/>
      <w:tblInd w:w="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4A0" w:firstRow="1" w:lastRow="0" w:firstColumn="1" w:lastColumn="0" w:noHBand="0" w:noVBand="1"/>
    </w:tblPr>
    <w:tblGrid>
      <w:gridCol w:w="1190"/>
      <w:gridCol w:w="5209"/>
      <w:gridCol w:w="1157"/>
      <w:gridCol w:w="1444"/>
    </w:tblGrid>
    <w:tr w:rsidR="006923BF" w:rsidTr="0030290C">
      <w:trPr>
        <w:cantSplit/>
        <w:trHeight w:val="408"/>
      </w:trPr>
      <w:tc>
        <w:tcPr>
          <w:tcW w:w="9000" w:type="dxa"/>
          <w:gridSpan w:val="4"/>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B"/>
          </w:pPr>
          <w:r>
            <w:t>OPERATIONAL POLICY and PROCEDURE STATEMENT</w:t>
          </w:r>
        </w:p>
      </w:tc>
    </w:tr>
    <w:tr w:rsidR="006923BF" w:rsidTr="0030290C">
      <w:trPr>
        <w:cantSplit/>
        <w:trHeight w:hRule="exact" w:val="408"/>
      </w:trPr>
      <w:tc>
        <w:tcPr>
          <w:tcW w:w="1190"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Manual:</w:t>
          </w:r>
        </w:p>
      </w:tc>
      <w:tc>
        <w:tcPr>
          <w:tcW w:w="5209"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AC68DE">
          <w:pPr>
            <w:pStyle w:val="FHC"/>
          </w:pPr>
          <w:r>
            <w:t>Finance</w:t>
          </w:r>
        </w:p>
      </w:tc>
      <w:tc>
        <w:tcPr>
          <w:tcW w:w="1157"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SPP No.</w:t>
          </w:r>
        </w:p>
      </w:tc>
      <w:tc>
        <w:tcPr>
          <w:tcW w:w="1444"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B"/>
          </w:pPr>
          <w:r>
            <w:t>FN 2.04</w:t>
          </w:r>
        </w:p>
      </w:tc>
    </w:tr>
    <w:tr w:rsidR="006923BF" w:rsidTr="0030290C">
      <w:trPr>
        <w:cantSplit/>
        <w:trHeight w:hRule="exact" w:val="408"/>
      </w:trPr>
      <w:tc>
        <w:tcPr>
          <w:tcW w:w="1190"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Section:</w:t>
          </w:r>
        </w:p>
      </w:tc>
      <w:tc>
        <w:tcPr>
          <w:tcW w:w="5209"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C"/>
          </w:pPr>
          <w:r>
            <w:t>Purchasing Cycle</w:t>
          </w:r>
        </w:p>
      </w:tc>
      <w:tc>
        <w:tcPr>
          <w:tcW w:w="1157"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Issued:</w:t>
          </w:r>
        </w:p>
      </w:tc>
      <w:tc>
        <w:tcPr>
          <w:tcW w:w="1444" w:type="dxa"/>
          <w:tcBorders>
            <w:top w:val="single" w:sz="8" w:space="0" w:color="000000"/>
            <w:left w:val="single" w:sz="8" w:space="0" w:color="000000"/>
            <w:bottom w:val="single" w:sz="8" w:space="0" w:color="000000"/>
            <w:right w:val="single" w:sz="8" w:space="0" w:color="000000"/>
          </w:tcBorders>
          <w:hideMark/>
        </w:tcPr>
        <w:p w:rsidR="006923BF" w:rsidRDefault="006923BF" w:rsidP="0030290C">
          <w:pPr>
            <w:pStyle w:val="FHC"/>
          </w:pPr>
          <w:r>
            <w:t>Oct</w:t>
          </w:r>
          <w:r w:rsidRPr="007F1C33">
            <w:t>.</w:t>
          </w:r>
          <w:r>
            <w:t xml:space="preserve"> 6, 2010</w:t>
          </w:r>
        </w:p>
        <w:p w:rsidR="006923BF" w:rsidRPr="008C3EE9" w:rsidRDefault="006923BF" w:rsidP="0030290C">
          <w:pPr>
            <w:pStyle w:val="FHC"/>
          </w:pPr>
        </w:p>
      </w:tc>
    </w:tr>
    <w:tr w:rsidR="006923BF" w:rsidTr="006957B8">
      <w:trPr>
        <w:cantSplit/>
        <w:trHeight w:hRule="exact" w:val="408"/>
      </w:trPr>
      <w:tc>
        <w:tcPr>
          <w:tcW w:w="1190"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Subject:</w:t>
          </w:r>
        </w:p>
      </w:tc>
      <w:tc>
        <w:tcPr>
          <w:tcW w:w="5209"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B"/>
          </w:pPr>
          <w:r>
            <w:t>EXPENSE ADVANCES AND ALLOWANCES</w:t>
          </w:r>
        </w:p>
      </w:tc>
      <w:tc>
        <w:tcPr>
          <w:tcW w:w="1157" w:type="dxa"/>
          <w:tcBorders>
            <w:top w:val="single" w:sz="8" w:space="0" w:color="000000"/>
            <w:left w:val="single" w:sz="8" w:space="0" w:color="000000"/>
            <w:bottom w:val="single" w:sz="8" w:space="0" w:color="000000"/>
            <w:right w:val="single" w:sz="8" w:space="0" w:color="000000"/>
          </w:tcBorders>
          <w:vAlign w:val="center"/>
        </w:tcPr>
        <w:p w:rsidR="006923BF" w:rsidRDefault="006923BF" w:rsidP="0030290C">
          <w:pPr>
            <w:pStyle w:val="FHL"/>
          </w:pPr>
        </w:p>
      </w:tc>
      <w:tc>
        <w:tcPr>
          <w:tcW w:w="1444" w:type="dxa"/>
          <w:tcBorders>
            <w:top w:val="single" w:sz="8" w:space="0" w:color="000000"/>
            <w:left w:val="single" w:sz="8" w:space="0" w:color="000000"/>
            <w:bottom w:val="single" w:sz="8" w:space="0" w:color="000000"/>
            <w:right w:val="single" w:sz="8" w:space="0" w:color="000000"/>
          </w:tcBorders>
        </w:tcPr>
        <w:p w:rsidR="006923BF" w:rsidRPr="008C3EE9" w:rsidRDefault="006923BF" w:rsidP="0030290C">
          <w:pPr>
            <w:pStyle w:val="FHC"/>
          </w:pPr>
        </w:p>
      </w:tc>
    </w:tr>
    <w:tr w:rsidR="006923BF" w:rsidTr="0030290C">
      <w:trPr>
        <w:cantSplit/>
        <w:trHeight w:hRule="exact" w:val="408"/>
      </w:trPr>
      <w:tc>
        <w:tcPr>
          <w:tcW w:w="1190" w:type="dxa"/>
          <w:vMerge w:val="restart"/>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Issue to:</w:t>
          </w:r>
        </w:p>
      </w:tc>
      <w:tc>
        <w:tcPr>
          <w:tcW w:w="5209" w:type="dxa"/>
          <w:vMerge w:val="restart"/>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C"/>
          </w:pPr>
          <w:r>
            <w:t>All Manual Holders</w:t>
          </w:r>
        </w:p>
      </w:tc>
      <w:tc>
        <w:tcPr>
          <w:tcW w:w="1157" w:type="dxa"/>
          <w:tcBorders>
            <w:top w:val="single" w:sz="8" w:space="0" w:color="000000"/>
            <w:left w:val="single" w:sz="8" w:space="0" w:color="000000"/>
            <w:bottom w:val="double" w:sz="6" w:space="0" w:color="000000"/>
            <w:right w:val="single" w:sz="8" w:space="0" w:color="000000"/>
          </w:tcBorders>
          <w:vAlign w:val="center"/>
          <w:hideMark/>
        </w:tcPr>
        <w:p w:rsidR="006923BF" w:rsidRDefault="006923BF" w:rsidP="0030290C">
          <w:pPr>
            <w:pStyle w:val="FHL"/>
          </w:pPr>
          <w:r>
            <w:t xml:space="preserve">Page: </w:t>
          </w:r>
        </w:p>
      </w:tc>
      <w:tc>
        <w:tcPr>
          <w:tcW w:w="1444" w:type="dxa"/>
          <w:tcBorders>
            <w:top w:val="single" w:sz="8" w:space="0" w:color="000000"/>
            <w:left w:val="single" w:sz="8" w:space="0" w:color="000000"/>
            <w:bottom w:val="double" w:sz="6" w:space="0" w:color="000000"/>
            <w:right w:val="single" w:sz="8" w:space="0" w:color="000000"/>
          </w:tcBorders>
          <w:vAlign w:val="center"/>
          <w:hideMark/>
        </w:tcPr>
        <w:p w:rsidR="006923BF" w:rsidRDefault="00685F82" w:rsidP="0030290C">
          <w:pPr>
            <w:pStyle w:val="FHC"/>
            <w:rPr>
              <w:rFonts w:cs="Arial"/>
            </w:rPr>
          </w:pPr>
          <w:r>
            <w:rPr>
              <w:rStyle w:val="PageNumber"/>
              <w:rFonts w:cs="Arial"/>
            </w:rPr>
            <w:fldChar w:fldCharType="begin"/>
          </w:r>
          <w:r w:rsidR="006923BF">
            <w:rPr>
              <w:rStyle w:val="PageNumber"/>
              <w:rFonts w:cs="Arial"/>
            </w:rPr>
            <w:instrText xml:space="preserve"> PAGE </w:instrText>
          </w:r>
          <w:r>
            <w:rPr>
              <w:rStyle w:val="PageNumber"/>
              <w:rFonts w:cs="Arial"/>
            </w:rPr>
            <w:fldChar w:fldCharType="separate"/>
          </w:r>
          <w:r w:rsidR="006957B8">
            <w:rPr>
              <w:rStyle w:val="PageNumber"/>
              <w:rFonts w:cs="Arial"/>
              <w:noProof/>
            </w:rPr>
            <w:t>2</w:t>
          </w:r>
          <w:r>
            <w:rPr>
              <w:rStyle w:val="PageNumber"/>
              <w:rFonts w:cs="Arial"/>
            </w:rPr>
            <w:fldChar w:fldCharType="end"/>
          </w:r>
          <w:r w:rsidR="006923BF">
            <w:rPr>
              <w:rStyle w:val="PageNumber"/>
              <w:rFonts w:cs="Arial"/>
            </w:rPr>
            <w:t xml:space="preserve"> of 3</w:t>
          </w:r>
        </w:p>
      </w:tc>
    </w:tr>
    <w:tr w:rsidR="006923BF" w:rsidTr="0030290C">
      <w:trPr>
        <w:cantSplit/>
        <w:trHeight w:hRule="exact" w:val="408"/>
      </w:trPr>
      <w:tc>
        <w:tcPr>
          <w:tcW w:w="1190" w:type="dxa"/>
          <w:vMerge/>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rPr>
              <w:rFonts w:ascii="Arial" w:hAnsi="Arial"/>
              <w:sz w:val="20"/>
              <w:szCs w:val="20"/>
              <w:lang w:val="en-CA"/>
            </w:rPr>
          </w:pPr>
        </w:p>
      </w:tc>
      <w:tc>
        <w:tcPr>
          <w:tcW w:w="5209" w:type="dxa"/>
          <w:vMerge/>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rPr>
              <w:rFonts w:ascii="Arial" w:hAnsi="Arial"/>
              <w:sz w:val="20"/>
              <w:szCs w:val="20"/>
              <w:lang w:val="en-CA"/>
            </w:rPr>
          </w:pPr>
        </w:p>
      </w:tc>
      <w:tc>
        <w:tcPr>
          <w:tcW w:w="1157" w:type="dxa"/>
          <w:tcBorders>
            <w:top w:val="double" w:sz="6" w:space="0" w:color="000000"/>
            <w:left w:val="double" w:sz="6" w:space="0" w:color="000000"/>
            <w:bottom w:val="single" w:sz="8" w:space="0" w:color="000000"/>
            <w:right w:val="single" w:sz="8" w:space="0" w:color="000000"/>
          </w:tcBorders>
          <w:vAlign w:val="center"/>
          <w:hideMark/>
        </w:tcPr>
        <w:p w:rsidR="006923BF" w:rsidRDefault="006923BF" w:rsidP="0030290C">
          <w:pPr>
            <w:pStyle w:val="FHL"/>
          </w:pPr>
          <w:r>
            <w:t>Replaces:</w:t>
          </w:r>
        </w:p>
      </w:tc>
      <w:tc>
        <w:tcPr>
          <w:tcW w:w="1444" w:type="dxa"/>
          <w:tcBorders>
            <w:top w:val="double" w:sz="6" w:space="0" w:color="000000"/>
            <w:left w:val="single" w:sz="8" w:space="0" w:color="000000"/>
            <w:bottom w:val="single" w:sz="8" w:space="0" w:color="000000"/>
            <w:right w:val="single" w:sz="8" w:space="0" w:color="000000"/>
          </w:tcBorders>
          <w:vAlign w:val="center"/>
          <w:hideMark/>
        </w:tcPr>
        <w:p w:rsidR="006923BF" w:rsidRDefault="006957B8" w:rsidP="0030290C">
          <w:pPr>
            <w:pStyle w:val="FHB"/>
          </w:pPr>
          <w:r>
            <w:t>Apr 16,2021</w:t>
          </w:r>
        </w:p>
      </w:tc>
    </w:tr>
    <w:tr w:rsidR="006923BF" w:rsidTr="0030290C">
      <w:trPr>
        <w:cantSplit/>
        <w:trHeight w:hRule="exact" w:val="408"/>
      </w:trPr>
      <w:tc>
        <w:tcPr>
          <w:tcW w:w="1190" w:type="dxa"/>
          <w:tcBorders>
            <w:top w:val="single" w:sz="8" w:space="0" w:color="000000"/>
            <w:left w:val="single" w:sz="8" w:space="0" w:color="000000"/>
            <w:bottom w:val="single" w:sz="8" w:space="0" w:color="000000"/>
            <w:right w:val="single" w:sz="8" w:space="0" w:color="000000"/>
          </w:tcBorders>
          <w:vAlign w:val="center"/>
          <w:hideMark/>
        </w:tcPr>
        <w:p w:rsidR="006923BF" w:rsidRDefault="006923BF" w:rsidP="0030290C">
          <w:pPr>
            <w:pStyle w:val="FHL"/>
          </w:pPr>
          <w:r>
            <w:t>Issued by:</w:t>
          </w:r>
        </w:p>
      </w:tc>
      <w:tc>
        <w:tcPr>
          <w:tcW w:w="5209" w:type="dxa"/>
          <w:tcBorders>
            <w:top w:val="single" w:sz="8" w:space="0" w:color="000000"/>
            <w:left w:val="single" w:sz="8" w:space="0" w:color="000000"/>
            <w:bottom w:val="single" w:sz="8" w:space="0" w:color="000000"/>
            <w:right w:val="double" w:sz="6" w:space="0" w:color="000000"/>
          </w:tcBorders>
          <w:vAlign w:val="center"/>
        </w:tcPr>
        <w:p w:rsidR="006923BF" w:rsidRDefault="006923BF" w:rsidP="006923BF">
          <w:pPr>
            <w:pStyle w:val="FHC"/>
          </w:pPr>
          <w:r>
            <w:t>Director of Corporate Services</w:t>
          </w:r>
        </w:p>
      </w:tc>
      <w:tc>
        <w:tcPr>
          <w:tcW w:w="1157" w:type="dxa"/>
          <w:tcBorders>
            <w:top w:val="single" w:sz="8" w:space="0" w:color="000000"/>
            <w:left w:val="double" w:sz="6" w:space="0" w:color="000000"/>
            <w:bottom w:val="single" w:sz="8" w:space="0" w:color="000000"/>
            <w:right w:val="single" w:sz="8" w:space="0" w:color="000000"/>
          </w:tcBorders>
          <w:vAlign w:val="center"/>
          <w:hideMark/>
        </w:tcPr>
        <w:p w:rsidR="006923BF" w:rsidRDefault="006923BF" w:rsidP="0030290C">
          <w:pPr>
            <w:pStyle w:val="FHL"/>
          </w:pPr>
          <w:r>
            <w:t>Dated:</w:t>
          </w:r>
        </w:p>
      </w:tc>
      <w:tc>
        <w:tcPr>
          <w:tcW w:w="1444" w:type="dxa"/>
          <w:tcBorders>
            <w:top w:val="single" w:sz="8" w:space="0" w:color="000000"/>
            <w:left w:val="single" w:sz="8" w:space="0" w:color="000000"/>
            <w:bottom w:val="single" w:sz="8" w:space="0" w:color="000000"/>
            <w:right w:val="single" w:sz="8" w:space="0" w:color="000000"/>
          </w:tcBorders>
          <w:vAlign w:val="center"/>
          <w:hideMark/>
        </w:tcPr>
        <w:p w:rsidR="006923BF" w:rsidRDefault="006957B8" w:rsidP="004274FF">
          <w:pPr>
            <w:pStyle w:val="FHC"/>
          </w:pPr>
          <w:r>
            <w:t>Apr. 15, 2024</w:t>
          </w:r>
        </w:p>
      </w:tc>
    </w:tr>
  </w:tbl>
  <w:p w:rsidR="006923BF" w:rsidRDefault="006923BF">
    <w:pPr>
      <w:pStyle w:val="Header"/>
    </w:pPr>
  </w:p>
  <w:p w:rsidR="006923BF" w:rsidRDefault="00692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A13"/>
    <w:multiLevelType w:val="multilevel"/>
    <w:tmpl w:val="DD2C9430"/>
    <w:lvl w:ilvl="0">
      <w:start w:val="1"/>
      <w:numFmt w:val="decimal"/>
      <w:lvlText w:val="%1."/>
      <w:lvlJc w:val="left"/>
      <w:pPr>
        <w:tabs>
          <w:tab w:val="num" w:pos="360"/>
        </w:tabs>
        <w:ind w:left="360" w:hanging="360"/>
      </w:pPr>
      <w:rPr>
        <w:rFonts w:ascii="Arial" w:hAnsi="Arial" w:hint="default"/>
        <w:b w:val="0"/>
        <w:i w:val="0"/>
      </w:rPr>
    </w:lvl>
    <w:lvl w:ilvl="1">
      <w:start w:val="1"/>
      <w:numFmt w:val="decimalZero"/>
      <w:lvlText w:val="%1.%2"/>
      <w:lvlJc w:val="left"/>
      <w:pPr>
        <w:tabs>
          <w:tab w:val="num" w:pos="1512"/>
        </w:tabs>
        <w:ind w:left="1512" w:hanging="1152"/>
      </w:pPr>
      <w:rPr>
        <w:rFonts w:ascii="Arial" w:hAnsi="Arial" w:hint="default"/>
        <w:b w:val="0"/>
        <w:i w:val="0"/>
      </w:rPr>
    </w:lvl>
    <w:lvl w:ilvl="2">
      <w:start w:val="1"/>
      <w:numFmt w:val="lowerLetter"/>
      <w:lvlText w:val="%3."/>
      <w:lvlJc w:val="left"/>
      <w:pPr>
        <w:tabs>
          <w:tab w:val="num" w:pos="1584"/>
        </w:tabs>
        <w:ind w:left="1584" w:hanging="576"/>
      </w:pPr>
      <w:rPr>
        <w:rFonts w:ascii="Arial" w:hAnsi="Arial" w:hint="default"/>
        <w:b w:val="0"/>
        <w:i w:val="0"/>
        <w:sz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2A06745A"/>
    <w:multiLevelType w:val="hybridMultilevel"/>
    <w:tmpl w:val="FA24FFF8"/>
    <w:lvl w:ilvl="0" w:tplc="71428C5E">
      <w:start w:val="1"/>
      <w:numFmt w:val="bullet"/>
      <w:pStyle w:val="IntroBullet2"/>
      <w:lvlText w:val=""/>
      <w:lvlJc w:val="left"/>
      <w:pPr>
        <w:tabs>
          <w:tab w:val="num" w:pos="3420"/>
        </w:tabs>
        <w:ind w:left="3420" w:hanging="360"/>
      </w:pPr>
      <w:rPr>
        <w:rFonts w:ascii="Symbol" w:hAnsi="Symbol" w:cs="Times New Roman" w:hint="default"/>
      </w:rPr>
    </w:lvl>
    <w:lvl w:ilvl="1" w:tplc="04090003">
      <w:start w:val="1"/>
      <w:numFmt w:val="bullet"/>
      <w:lvlText w:val="o"/>
      <w:lvlJc w:val="left"/>
      <w:pPr>
        <w:tabs>
          <w:tab w:val="num" w:pos="4140"/>
        </w:tabs>
        <w:ind w:left="4140" w:hanging="360"/>
      </w:pPr>
      <w:rPr>
        <w:rFonts w:ascii="Courier New" w:hAnsi="Courier New" w:cs="Courier New" w:hint="default"/>
      </w:rPr>
    </w:lvl>
    <w:lvl w:ilvl="2" w:tplc="04090005">
      <w:start w:val="1"/>
      <w:numFmt w:val="bullet"/>
      <w:lvlText w:val=""/>
      <w:lvlJc w:val="left"/>
      <w:pPr>
        <w:tabs>
          <w:tab w:val="num" w:pos="4860"/>
        </w:tabs>
        <w:ind w:left="4860" w:hanging="360"/>
      </w:pPr>
      <w:rPr>
        <w:rFonts w:ascii="Wingdings" w:hAnsi="Wingdings" w:cs="Times New Roman" w:hint="default"/>
      </w:rPr>
    </w:lvl>
    <w:lvl w:ilvl="3" w:tplc="04090001">
      <w:start w:val="1"/>
      <w:numFmt w:val="bullet"/>
      <w:lvlText w:val=""/>
      <w:lvlJc w:val="left"/>
      <w:pPr>
        <w:tabs>
          <w:tab w:val="num" w:pos="5580"/>
        </w:tabs>
        <w:ind w:left="5580" w:hanging="360"/>
      </w:pPr>
      <w:rPr>
        <w:rFonts w:ascii="Symbol" w:hAnsi="Symbol" w:cs="Times New Roman" w:hint="default"/>
      </w:rPr>
    </w:lvl>
    <w:lvl w:ilvl="4" w:tplc="04090003">
      <w:start w:val="1"/>
      <w:numFmt w:val="bullet"/>
      <w:lvlText w:val="o"/>
      <w:lvlJc w:val="left"/>
      <w:pPr>
        <w:tabs>
          <w:tab w:val="num" w:pos="6300"/>
        </w:tabs>
        <w:ind w:left="6300" w:hanging="360"/>
      </w:pPr>
      <w:rPr>
        <w:rFonts w:ascii="Courier New" w:hAnsi="Courier New" w:cs="Courier New" w:hint="default"/>
      </w:rPr>
    </w:lvl>
    <w:lvl w:ilvl="5" w:tplc="04090005">
      <w:start w:val="1"/>
      <w:numFmt w:val="bullet"/>
      <w:lvlText w:val=""/>
      <w:lvlJc w:val="left"/>
      <w:pPr>
        <w:tabs>
          <w:tab w:val="num" w:pos="7020"/>
        </w:tabs>
        <w:ind w:left="7020" w:hanging="360"/>
      </w:pPr>
      <w:rPr>
        <w:rFonts w:ascii="Wingdings" w:hAnsi="Wingdings" w:cs="Times New Roman" w:hint="default"/>
      </w:rPr>
    </w:lvl>
    <w:lvl w:ilvl="6" w:tplc="04090001">
      <w:start w:val="1"/>
      <w:numFmt w:val="bullet"/>
      <w:lvlText w:val=""/>
      <w:lvlJc w:val="left"/>
      <w:pPr>
        <w:tabs>
          <w:tab w:val="num" w:pos="7740"/>
        </w:tabs>
        <w:ind w:left="7740" w:hanging="360"/>
      </w:pPr>
      <w:rPr>
        <w:rFonts w:ascii="Symbol" w:hAnsi="Symbol" w:cs="Times New Roman" w:hint="default"/>
      </w:rPr>
    </w:lvl>
    <w:lvl w:ilvl="7" w:tplc="04090003">
      <w:start w:val="1"/>
      <w:numFmt w:val="bullet"/>
      <w:lvlText w:val="o"/>
      <w:lvlJc w:val="left"/>
      <w:pPr>
        <w:tabs>
          <w:tab w:val="num" w:pos="8460"/>
        </w:tabs>
        <w:ind w:left="8460" w:hanging="360"/>
      </w:pPr>
      <w:rPr>
        <w:rFonts w:ascii="Courier New" w:hAnsi="Courier New" w:cs="Courier New" w:hint="default"/>
      </w:rPr>
    </w:lvl>
    <w:lvl w:ilvl="8" w:tplc="04090005">
      <w:start w:val="1"/>
      <w:numFmt w:val="bullet"/>
      <w:lvlText w:val=""/>
      <w:lvlJc w:val="left"/>
      <w:pPr>
        <w:tabs>
          <w:tab w:val="num" w:pos="9180"/>
        </w:tabs>
        <w:ind w:left="9180" w:hanging="360"/>
      </w:pPr>
      <w:rPr>
        <w:rFonts w:ascii="Wingdings" w:hAnsi="Wingdings" w:cs="Times New Roman" w:hint="default"/>
      </w:rPr>
    </w:lvl>
  </w:abstractNum>
  <w:abstractNum w:abstractNumId="2" w15:restartNumberingAfterBreak="0">
    <w:nsid w:val="2D781244"/>
    <w:multiLevelType w:val="multilevel"/>
    <w:tmpl w:val="E4AE8756"/>
    <w:lvl w:ilvl="0">
      <w:start w:val="1"/>
      <w:numFmt w:val="decimal"/>
      <w:lvlText w:val="%1."/>
      <w:lvlJc w:val="left"/>
      <w:pPr>
        <w:tabs>
          <w:tab w:val="num" w:pos="360"/>
        </w:tabs>
        <w:ind w:left="360" w:hanging="360"/>
      </w:pPr>
      <w:rPr>
        <w:rFonts w:ascii="Arial" w:hAnsi="Arial" w:hint="default"/>
        <w:b w:val="0"/>
        <w:i w:val="0"/>
      </w:rPr>
    </w:lvl>
    <w:lvl w:ilvl="1">
      <w:start w:val="1"/>
      <w:numFmt w:val="decimalZero"/>
      <w:lvlText w:val="%1.%2"/>
      <w:lvlJc w:val="left"/>
      <w:pPr>
        <w:tabs>
          <w:tab w:val="num" w:pos="1512"/>
        </w:tabs>
        <w:ind w:left="1512" w:hanging="1152"/>
      </w:pPr>
      <w:rPr>
        <w:rFonts w:ascii="Arial" w:hAnsi="Arial" w:hint="default"/>
        <w:b w:val="0"/>
        <w:i w:val="0"/>
      </w:rPr>
    </w:lvl>
    <w:lvl w:ilvl="2">
      <w:start w:val="1"/>
      <w:numFmt w:val="lowerLetter"/>
      <w:lvlText w:val="%3."/>
      <w:lvlJc w:val="left"/>
      <w:pPr>
        <w:tabs>
          <w:tab w:val="num" w:pos="1584"/>
        </w:tabs>
        <w:ind w:left="1584" w:hanging="576"/>
      </w:pPr>
      <w:rPr>
        <w:rFonts w:ascii="Arial" w:hAnsi="Arial" w:hint="default"/>
        <w:b w:val="0"/>
        <w:i w:val="0"/>
        <w:sz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0890C4B"/>
    <w:multiLevelType w:val="hybridMultilevel"/>
    <w:tmpl w:val="737A9B40"/>
    <w:lvl w:ilvl="0" w:tplc="A1141754">
      <w:start w:val="1"/>
      <w:numFmt w:val="lowerLetter"/>
      <w:lvlText w:val="(%1)"/>
      <w:lvlJc w:val="left"/>
      <w:pPr>
        <w:ind w:left="1267" w:hanging="360"/>
      </w:pPr>
      <w:rPr>
        <w:rFonts w:hint="default"/>
        <w:sz w:val="20"/>
      </w:r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15:restartNumberingAfterBreak="0">
    <w:nsid w:val="53774703"/>
    <w:multiLevelType w:val="multilevel"/>
    <w:tmpl w:val="FB14BD9E"/>
    <w:lvl w:ilvl="0">
      <w:start w:val="7"/>
      <w:numFmt w:val="decimal"/>
      <w:lvlText w:val="%1"/>
      <w:lvlJc w:val="left"/>
      <w:pPr>
        <w:tabs>
          <w:tab w:val="num" w:pos="900"/>
        </w:tabs>
        <w:ind w:left="900" w:hanging="900"/>
      </w:pPr>
      <w:rPr>
        <w:rFonts w:hint="default"/>
        <w:b w:val="0"/>
      </w:rPr>
    </w:lvl>
    <w:lvl w:ilvl="1">
      <w:start w:val="3"/>
      <w:numFmt w:val="decimalZero"/>
      <w:lvlText w:val="%1.%2"/>
      <w:lvlJc w:val="left"/>
      <w:pPr>
        <w:tabs>
          <w:tab w:val="num" w:pos="900"/>
        </w:tabs>
        <w:ind w:left="900" w:hanging="900"/>
      </w:pPr>
      <w:rPr>
        <w:rFonts w:hint="default"/>
        <w:b w:val="0"/>
      </w:rPr>
    </w:lvl>
    <w:lvl w:ilvl="2">
      <w:start w:val="1"/>
      <w:numFmt w:val="decimal"/>
      <w:lvlText w:val="%1.%2.%3"/>
      <w:lvlJc w:val="left"/>
      <w:pPr>
        <w:tabs>
          <w:tab w:val="num" w:pos="900"/>
        </w:tabs>
        <w:ind w:left="900" w:hanging="900"/>
      </w:pPr>
      <w:rPr>
        <w:rFonts w:hint="default"/>
        <w:b w:val="0"/>
      </w:rPr>
    </w:lvl>
    <w:lvl w:ilvl="3">
      <w:start w:val="1"/>
      <w:numFmt w:val="decimal"/>
      <w:lvlText w:val="%1.%2.%3.%4"/>
      <w:lvlJc w:val="left"/>
      <w:pPr>
        <w:tabs>
          <w:tab w:val="num" w:pos="900"/>
        </w:tabs>
        <w:ind w:left="900" w:hanging="90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336330"/>
    <w:multiLevelType w:val="hybridMultilevel"/>
    <w:tmpl w:val="E2CE7BAC"/>
    <w:lvl w:ilvl="0" w:tplc="4462C25E">
      <w:start w:val="1"/>
      <w:numFmt w:val="bullet"/>
      <w:lvlText w:val=""/>
      <w:lvlJc w:val="left"/>
      <w:pPr>
        <w:tabs>
          <w:tab w:val="num" w:pos="1008"/>
        </w:tabs>
        <w:ind w:left="1008"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B2076F"/>
    <w:multiLevelType w:val="hybridMultilevel"/>
    <w:tmpl w:val="7A22D9CE"/>
    <w:lvl w:ilvl="0" w:tplc="C9067CB4">
      <w:start w:val="1"/>
      <w:numFmt w:val="bullet"/>
      <w:pStyle w:val="IntroBullet2Special"/>
      <w:lvlText w:val="o"/>
      <w:lvlJc w:val="left"/>
      <w:pPr>
        <w:tabs>
          <w:tab w:val="num" w:pos="3420"/>
        </w:tabs>
        <w:ind w:left="3420" w:hanging="360"/>
      </w:pPr>
      <w:rPr>
        <w:rFonts w:ascii="Courier New" w:hAnsi="Courier New" w:cs="Courier New" w:hint="default"/>
      </w:rPr>
    </w:lvl>
    <w:lvl w:ilvl="1" w:tplc="04090003">
      <w:start w:val="1"/>
      <w:numFmt w:val="bullet"/>
      <w:lvlText w:val="o"/>
      <w:lvlJc w:val="left"/>
      <w:pPr>
        <w:tabs>
          <w:tab w:val="num" w:pos="4140"/>
        </w:tabs>
        <w:ind w:left="4140" w:hanging="360"/>
      </w:pPr>
      <w:rPr>
        <w:rFonts w:ascii="Courier New" w:hAnsi="Courier New" w:cs="Courier New" w:hint="default"/>
      </w:rPr>
    </w:lvl>
    <w:lvl w:ilvl="2" w:tplc="04090005">
      <w:start w:val="1"/>
      <w:numFmt w:val="bullet"/>
      <w:lvlText w:val=""/>
      <w:lvlJc w:val="left"/>
      <w:pPr>
        <w:tabs>
          <w:tab w:val="num" w:pos="4860"/>
        </w:tabs>
        <w:ind w:left="4860" w:hanging="360"/>
      </w:pPr>
      <w:rPr>
        <w:rFonts w:ascii="Wingdings" w:hAnsi="Wingdings" w:cs="Times New Roman" w:hint="default"/>
      </w:rPr>
    </w:lvl>
    <w:lvl w:ilvl="3" w:tplc="04090001">
      <w:start w:val="1"/>
      <w:numFmt w:val="bullet"/>
      <w:lvlText w:val=""/>
      <w:lvlJc w:val="left"/>
      <w:pPr>
        <w:tabs>
          <w:tab w:val="num" w:pos="5580"/>
        </w:tabs>
        <w:ind w:left="5580" w:hanging="360"/>
      </w:pPr>
      <w:rPr>
        <w:rFonts w:ascii="Symbol" w:hAnsi="Symbol" w:cs="Times New Roman" w:hint="default"/>
      </w:rPr>
    </w:lvl>
    <w:lvl w:ilvl="4" w:tplc="04090003">
      <w:start w:val="1"/>
      <w:numFmt w:val="bullet"/>
      <w:lvlText w:val="o"/>
      <w:lvlJc w:val="left"/>
      <w:pPr>
        <w:tabs>
          <w:tab w:val="num" w:pos="6300"/>
        </w:tabs>
        <w:ind w:left="6300" w:hanging="360"/>
      </w:pPr>
      <w:rPr>
        <w:rFonts w:ascii="Courier New" w:hAnsi="Courier New" w:cs="Courier New" w:hint="default"/>
      </w:rPr>
    </w:lvl>
    <w:lvl w:ilvl="5" w:tplc="04090005">
      <w:start w:val="1"/>
      <w:numFmt w:val="bullet"/>
      <w:lvlText w:val=""/>
      <w:lvlJc w:val="left"/>
      <w:pPr>
        <w:tabs>
          <w:tab w:val="num" w:pos="7020"/>
        </w:tabs>
        <w:ind w:left="7020" w:hanging="360"/>
      </w:pPr>
      <w:rPr>
        <w:rFonts w:ascii="Wingdings" w:hAnsi="Wingdings" w:cs="Times New Roman" w:hint="default"/>
      </w:rPr>
    </w:lvl>
    <w:lvl w:ilvl="6" w:tplc="04090001">
      <w:start w:val="1"/>
      <w:numFmt w:val="bullet"/>
      <w:lvlText w:val=""/>
      <w:lvlJc w:val="left"/>
      <w:pPr>
        <w:tabs>
          <w:tab w:val="num" w:pos="7740"/>
        </w:tabs>
        <w:ind w:left="7740" w:hanging="360"/>
      </w:pPr>
      <w:rPr>
        <w:rFonts w:ascii="Symbol" w:hAnsi="Symbol" w:cs="Times New Roman" w:hint="default"/>
      </w:rPr>
    </w:lvl>
    <w:lvl w:ilvl="7" w:tplc="04090003">
      <w:start w:val="1"/>
      <w:numFmt w:val="bullet"/>
      <w:lvlText w:val="o"/>
      <w:lvlJc w:val="left"/>
      <w:pPr>
        <w:tabs>
          <w:tab w:val="num" w:pos="8460"/>
        </w:tabs>
        <w:ind w:left="8460" w:hanging="360"/>
      </w:pPr>
      <w:rPr>
        <w:rFonts w:ascii="Courier New" w:hAnsi="Courier New" w:cs="Courier New" w:hint="default"/>
      </w:rPr>
    </w:lvl>
    <w:lvl w:ilvl="8" w:tplc="04090005">
      <w:start w:val="1"/>
      <w:numFmt w:val="bullet"/>
      <w:lvlText w:val=""/>
      <w:lvlJc w:val="left"/>
      <w:pPr>
        <w:tabs>
          <w:tab w:val="num" w:pos="9180"/>
        </w:tabs>
        <w:ind w:left="9180" w:hanging="360"/>
      </w:pPr>
      <w:rPr>
        <w:rFonts w:ascii="Wingdings" w:hAnsi="Wingdings" w:cs="Times New Roman" w:hint="default"/>
      </w:rPr>
    </w:lvl>
  </w:abstractNum>
  <w:abstractNum w:abstractNumId="7" w15:restartNumberingAfterBreak="0">
    <w:nsid w:val="622B4F56"/>
    <w:multiLevelType w:val="hybridMultilevel"/>
    <w:tmpl w:val="2CEE2EF8"/>
    <w:lvl w:ilvl="0" w:tplc="8DD00E5A">
      <w:start w:val="1"/>
      <w:numFmt w:val="decimal"/>
      <w:pStyle w:val="IntroBulletNumb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8" w15:restartNumberingAfterBreak="0">
    <w:nsid w:val="66313A2C"/>
    <w:multiLevelType w:val="hybridMultilevel"/>
    <w:tmpl w:val="01F8BE4C"/>
    <w:lvl w:ilvl="0" w:tplc="01544A56">
      <w:start w:val="1"/>
      <w:numFmt w:val="bullet"/>
      <w:pStyle w:val="PolicyParaBullet"/>
      <w:lvlText w:val=""/>
      <w:lvlJc w:val="left"/>
      <w:pPr>
        <w:tabs>
          <w:tab w:val="num" w:pos="1620"/>
        </w:tabs>
        <w:ind w:left="1620" w:hanging="360"/>
      </w:pPr>
      <w:rPr>
        <w:rFonts w:ascii="Symbol" w:hAnsi="Symbol"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cs="Times New Roman" w:hint="default"/>
      </w:rPr>
    </w:lvl>
    <w:lvl w:ilvl="3" w:tplc="04090001">
      <w:start w:val="1"/>
      <w:numFmt w:val="bullet"/>
      <w:lvlText w:val=""/>
      <w:lvlJc w:val="left"/>
      <w:pPr>
        <w:tabs>
          <w:tab w:val="num" w:pos="3780"/>
        </w:tabs>
        <w:ind w:left="3780" w:hanging="360"/>
      </w:pPr>
      <w:rPr>
        <w:rFonts w:ascii="Symbol" w:hAnsi="Symbol" w:cs="Times New Roman"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cs="Times New Roman" w:hint="default"/>
      </w:rPr>
    </w:lvl>
    <w:lvl w:ilvl="6" w:tplc="04090001">
      <w:start w:val="1"/>
      <w:numFmt w:val="bullet"/>
      <w:lvlText w:val=""/>
      <w:lvlJc w:val="left"/>
      <w:pPr>
        <w:tabs>
          <w:tab w:val="num" w:pos="5940"/>
        </w:tabs>
        <w:ind w:left="5940" w:hanging="360"/>
      </w:pPr>
      <w:rPr>
        <w:rFonts w:ascii="Symbol" w:hAnsi="Symbol" w:cs="Times New Roman"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cs="Times New Roman" w:hint="default"/>
      </w:rPr>
    </w:lvl>
  </w:abstractNum>
  <w:abstractNum w:abstractNumId="9" w15:restartNumberingAfterBreak="0">
    <w:nsid w:val="6F362BC7"/>
    <w:multiLevelType w:val="hybridMultilevel"/>
    <w:tmpl w:val="4676AB04"/>
    <w:lvl w:ilvl="0" w:tplc="4462C25E">
      <w:start w:val="1"/>
      <w:numFmt w:val="bullet"/>
      <w:lvlText w:val=""/>
      <w:lvlJc w:val="left"/>
      <w:pPr>
        <w:tabs>
          <w:tab w:val="num" w:pos="1008"/>
        </w:tabs>
        <w:ind w:left="1008"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B23354"/>
    <w:multiLevelType w:val="hybridMultilevel"/>
    <w:tmpl w:val="B832D6C2"/>
    <w:lvl w:ilvl="0" w:tplc="59EAEBA2">
      <w:start w:val="1"/>
      <w:numFmt w:val="bullet"/>
      <w:pStyle w:val="IntroBullet1"/>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1" w15:restartNumberingAfterBreak="0">
    <w:nsid w:val="72917A2A"/>
    <w:multiLevelType w:val="hybridMultilevel"/>
    <w:tmpl w:val="3A9E41D2"/>
    <w:lvl w:ilvl="0" w:tplc="44B4FE6E">
      <w:start w:val="1"/>
      <w:numFmt w:val="bullet"/>
      <w:pStyle w:val="PolicyParaANoNumber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num w:numId="1">
    <w:abstractNumId w:val="10"/>
  </w:num>
  <w:num w:numId="2">
    <w:abstractNumId w:val="1"/>
  </w:num>
  <w:num w:numId="3">
    <w:abstractNumId w:val="6"/>
  </w:num>
  <w:num w:numId="4">
    <w:abstractNumId w:val="7"/>
  </w:num>
  <w:num w:numId="5">
    <w:abstractNumId w:val="11"/>
  </w:num>
  <w:num w:numId="6">
    <w:abstractNumId w:val="8"/>
  </w:num>
  <w:num w:numId="7">
    <w:abstractNumId w:val="1"/>
  </w:num>
  <w:num w:numId="8">
    <w:abstractNumId w:val="2"/>
  </w:num>
  <w:num w:numId="9">
    <w:abstractNumId w:val="5"/>
  </w:num>
  <w:num w:numId="10">
    <w:abstractNumId w:val="9"/>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3F"/>
    <w:rsid w:val="000C7660"/>
    <w:rsid w:val="000E17B1"/>
    <w:rsid w:val="001C1C7A"/>
    <w:rsid w:val="002122EE"/>
    <w:rsid w:val="00252934"/>
    <w:rsid w:val="00275C10"/>
    <w:rsid w:val="002C3E2F"/>
    <w:rsid w:val="002E53BB"/>
    <w:rsid w:val="003B12FE"/>
    <w:rsid w:val="003B2839"/>
    <w:rsid w:val="003B3120"/>
    <w:rsid w:val="0041448E"/>
    <w:rsid w:val="004274FF"/>
    <w:rsid w:val="00432544"/>
    <w:rsid w:val="004458B7"/>
    <w:rsid w:val="00580A48"/>
    <w:rsid w:val="00581A40"/>
    <w:rsid w:val="005A7290"/>
    <w:rsid w:val="005C2D73"/>
    <w:rsid w:val="006205A6"/>
    <w:rsid w:val="0066789D"/>
    <w:rsid w:val="00685F82"/>
    <w:rsid w:val="006923BF"/>
    <w:rsid w:val="006957B8"/>
    <w:rsid w:val="006A7DA2"/>
    <w:rsid w:val="006F262C"/>
    <w:rsid w:val="007151D8"/>
    <w:rsid w:val="007F2EFF"/>
    <w:rsid w:val="00831663"/>
    <w:rsid w:val="00852028"/>
    <w:rsid w:val="00856C9B"/>
    <w:rsid w:val="009163F5"/>
    <w:rsid w:val="0095594C"/>
    <w:rsid w:val="00982077"/>
    <w:rsid w:val="00982FEF"/>
    <w:rsid w:val="009E3F18"/>
    <w:rsid w:val="009F5AA3"/>
    <w:rsid w:val="009F73FF"/>
    <w:rsid w:val="00A600EE"/>
    <w:rsid w:val="00A958F4"/>
    <w:rsid w:val="00AB1EB0"/>
    <w:rsid w:val="00AC1EB1"/>
    <w:rsid w:val="00AC68DE"/>
    <w:rsid w:val="00AD0075"/>
    <w:rsid w:val="00AE36B8"/>
    <w:rsid w:val="00D16BB3"/>
    <w:rsid w:val="00DA02FC"/>
    <w:rsid w:val="00DC2DF4"/>
    <w:rsid w:val="00DC2E8A"/>
    <w:rsid w:val="00DD48E0"/>
    <w:rsid w:val="00E324C3"/>
    <w:rsid w:val="00E36436"/>
    <w:rsid w:val="00E87F62"/>
    <w:rsid w:val="00EA213F"/>
    <w:rsid w:val="00EB433D"/>
    <w:rsid w:val="00ED6077"/>
    <w:rsid w:val="00F070CD"/>
    <w:rsid w:val="00F07BB5"/>
    <w:rsid w:val="00FA0594"/>
    <w:rsid w:val="00FD1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A9B54"/>
  <w15:docId w15:val="{D8DB26F9-8EBA-49BA-B3B5-1359262E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EFF"/>
    <w:rPr>
      <w:sz w:val="24"/>
      <w:szCs w:val="24"/>
    </w:rPr>
  </w:style>
  <w:style w:type="paragraph" w:styleId="Heading1">
    <w:name w:val="heading 1"/>
    <w:basedOn w:val="Normal"/>
    <w:next w:val="Normal"/>
    <w:qFormat/>
    <w:rsid w:val="007F2EF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F2E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F2EFF"/>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outlineLvl w:val="2"/>
    </w:pPr>
    <w:rPr>
      <w:rFonts w:ascii="Arial" w:hAnsi="Arial"/>
      <w:b/>
      <w:sz w:val="19"/>
      <w:lang w:val="en-CA"/>
    </w:rPr>
  </w:style>
  <w:style w:type="paragraph" w:styleId="Heading4">
    <w:name w:val="heading 4"/>
    <w:basedOn w:val="Normal"/>
    <w:next w:val="Normal"/>
    <w:qFormat/>
    <w:rsid w:val="007F2EFF"/>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jc w:val="center"/>
      <w:outlineLvl w:val="3"/>
    </w:pPr>
    <w:rPr>
      <w:rFonts w:ascii="Arial" w:hAnsi="Arial"/>
      <w:b/>
      <w:sz w:val="20"/>
      <w:lang w:val="en-CA"/>
    </w:rPr>
  </w:style>
  <w:style w:type="paragraph" w:styleId="Heading9">
    <w:name w:val="heading 9"/>
    <w:basedOn w:val="Normal"/>
    <w:next w:val="Normal"/>
    <w:qFormat/>
    <w:rsid w:val="007F2EFF"/>
    <w:pPr>
      <w:keepNext/>
      <w:overflowPunct w:val="0"/>
      <w:autoSpaceDE w:val="0"/>
      <w:autoSpaceDN w:val="0"/>
      <w:adjustRightInd w:val="0"/>
      <w:jc w:val="center"/>
      <w:textAlignment w:val="baseline"/>
      <w:outlineLvl w:val="8"/>
    </w:pPr>
    <w:rPr>
      <w:rFonts w:ascii="Arial" w:hAnsi="Arial" w:cs="Arial"/>
      <w:b/>
      <w:bCs/>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ullet1">
    <w:name w:val="Intro_Bullet 1"/>
    <w:basedOn w:val="Normal"/>
    <w:rsid w:val="007F2EFF"/>
    <w:pPr>
      <w:widowControl w:val="0"/>
      <w:numPr>
        <w:numId w:val="1"/>
      </w:numPr>
      <w:tabs>
        <w:tab w:val="left" w:pos="-1440"/>
        <w:tab w:val="num" w:pos="1080"/>
      </w:tabs>
      <w:autoSpaceDE w:val="0"/>
      <w:autoSpaceDN w:val="0"/>
      <w:adjustRightInd w:val="0"/>
      <w:ind w:left="1080"/>
      <w:jc w:val="both"/>
    </w:pPr>
    <w:rPr>
      <w:lang w:val="en-GB"/>
    </w:rPr>
  </w:style>
  <w:style w:type="paragraph" w:customStyle="1" w:styleId="IntroBullet2A">
    <w:name w:val="Intro_Bullet 2 A"/>
    <w:basedOn w:val="Normal"/>
    <w:rsid w:val="007F2EFF"/>
    <w:pPr>
      <w:widowControl w:val="0"/>
      <w:tabs>
        <w:tab w:val="left" w:pos="-1080"/>
        <w:tab w:val="left" w:pos="-720"/>
        <w:tab w:val="left" w:pos="0"/>
        <w:tab w:val="left" w:pos="900"/>
        <w:tab w:val="left" w:pos="1350"/>
        <w:tab w:val="left" w:pos="2340"/>
      </w:tabs>
      <w:autoSpaceDE w:val="0"/>
      <w:autoSpaceDN w:val="0"/>
      <w:adjustRightInd w:val="0"/>
      <w:spacing w:before="60" w:after="60"/>
      <w:ind w:left="2340" w:hanging="720"/>
      <w:jc w:val="both"/>
    </w:pPr>
    <w:rPr>
      <w:lang w:val="en-GB"/>
    </w:rPr>
  </w:style>
  <w:style w:type="paragraph" w:customStyle="1" w:styleId="IntroBullet2">
    <w:name w:val="Intro_Bullet 2"/>
    <w:basedOn w:val="IntroBullet2A"/>
    <w:rsid w:val="007F2EFF"/>
    <w:pPr>
      <w:numPr>
        <w:numId w:val="7"/>
      </w:numPr>
      <w:tabs>
        <w:tab w:val="clear" w:pos="-1080"/>
        <w:tab w:val="clear" w:pos="-720"/>
        <w:tab w:val="clear" w:pos="0"/>
        <w:tab w:val="clear" w:pos="900"/>
        <w:tab w:val="clear" w:pos="1350"/>
        <w:tab w:val="clear" w:pos="2340"/>
        <w:tab w:val="clear" w:pos="3420"/>
        <w:tab w:val="left" w:pos="1620"/>
      </w:tabs>
      <w:ind w:left="1620" w:hanging="540"/>
    </w:pPr>
  </w:style>
  <w:style w:type="paragraph" w:customStyle="1" w:styleId="IntroBullet2Para">
    <w:name w:val="Intro_Bullet 2 Para"/>
    <w:basedOn w:val="Normal"/>
    <w:rsid w:val="007F2EFF"/>
    <w:pPr>
      <w:ind w:left="1620"/>
      <w:jc w:val="both"/>
    </w:pPr>
    <w:rPr>
      <w:lang w:val="en-GB"/>
    </w:rPr>
  </w:style>
  <w:style w:type="paragraph" w:customStyle="1" w:styleId="IntroBullet2Special">
    <w:name w:val="Intro_Bullet 2_Special"/>
    <w:basedOn w:val="IntroBullet2"/>
    <w:rsid w:val="007F2EFF"/>
    <w:pPr>
      <w:numPr>
        <w:numId w:val="3"/>
      </w:numPr>
      <w:tabs>
        <w:tab w:val="clear" w:pos="3420"/>
        <w:tab w:val="num" w:pos="1620"/>
      </w:tabs>
      <w:spacing w:before="120"/>
      <w:ind w:left="1627" w:hanging="547"/>
    </w:pPr>
  </w:style>
  <w:style w:type="paragraph" w:customStyle="1" w:styleId="IntroBullet3">
    <w:name w:val="Intro_Bullet 3"/>
    <w:basedOn w:val="IntroBullet2"/>
    <w:rsid w:val="007F2EFF"/>
    <w:pPr>
      <w:numPr>
        <w:numId w:val="0"/>
      </w:numPr>
      <w:tabs>
        <w:tab w:val="num" w:pos="3420"/>
      </w:tabs>
      <w:ind w:left="2520" w:hanging="540"/>
    </w:pPr>
  </w:style>
  <w:style w:type="paragraph" w:customStyle="1" w:styleId="IntroBulletA">
    <w:name w:val="Intro_Bullet A"/>
    <w:basedOn w:val="Normal"/>
    <w:rsid w:val="007F2EFF"/>
    <w:pPr>
      <w:widowControl w:val="0"/>
      <w:tabs>
        <w:tab w:val="left" w:pos="-1440"/>
        <w:tab w:val="left" w:pos="1620"/>
      </w:tabs>
      <w:autoSpaceDE w:val="0"/>
      <w:autoSpaceDN w:val="0"/>
      <w:adjustRightInd w:val="0"/>
      <w:spacing w:before="60"/>
      <w:ind w:left="1627" w:hanging="547"/>
      <w:jc w:val="both"/>
    </w:pPr>
    <w:rPr>
      <w:lang w:val="en-GB"/>
    </w:rPr>
  </w:style>
  <w:style w:type="paragraph" w:customStyle="1" w:styleId="IntroBulletAPara">
    <w:name w:val="Intro_Bullet A Para"/>
    <w:basedOn w:val="Normal"/>
    <w:rsid w:val="007F2EFF"/>
    <w:pPr>
      <w:widowControl w:val="0"/>
      <w:autoSpaceDE w:val="0"/>
      <w:autoSpaceDN w:val="0"/>
      <w:adjustRightInd w:val="0"/>
      <w:ind w:left="1620"/>
      <w:jc w:val="both"/>
    </w:pPr>
    <w:rPr>
      <w:lang w:val="en-GB"/>
    </w:rPr>
  </w:style>
  <w:style w:type="paragraph" w:customStyle="1" w:styleId="IntroBulletAi">
    <w:name w:val="Intro_Bullet A (i)"/>
    <w:basedOn w:val="IntroBulletAPara"/>
    <w:rsid w:val="007F2EFF"/>
    <w:pPr>
      <w:ind w:left="2160" w:hanging="540"/>
    </w:pPr>
  </w:style>
  <w:style w:type="paragraph" w:customStyle="1" w:styleId="IntroBulletPara">
    <w:name w:val="Intro_Bullet Para"/>
    <w:basedOn w:val="Normal"/>
    <w:rsid w:val="007F2EFF"/>
    <w:pPr>
      <w:widowControl w:val="0"/>
      <w:autoSpaceDE w:val="0"/>
      <w:autoSpaceDN w:val="0"/>
      <w:adjustRightInd w:val="0"/>
      <w:ind w:left="1080"/>
      <w:jc w:val="both"/>
    </w:pPr>
    <w:rPr>
      <w:lang w:val="en-GB"/>
    </w:rPr>
  </w:style>
  <w:style w:type="paragraph" w:customStyle="1" w:styleId="IntroBulletNumber">
    <w:name w:val="Intro_Bullet Number"/>
    <w:basedOn w:val="IntroBulletPara"/>
    <w:rsid w:val="007F2EFF"/>
    <w:pPr>
      <w:numPr>
        <w:numId w:val="4"/>
      </w:numPr>
      <w:tabs>
        <w:tab w:val="num" w:pos="1620"/>
      </w:tabs>
      <w:ind w:left="1620" w:hanging="540"/>
    </w:pPr>
  </w:style>
  <w:style w:type="paragraph" w:customStyle="1" w:styleId="IntroBullet2A0">
    <w:name w:val="Intro_Bullet2 A"/>
    <w:basedOn w:val="Normal"/>
    <w:rsid w:val="007F2EFF"/>
    <w:pPr>
      <w:widowControl w:val="0"/>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120" w:after="120" w:line="287" w:lineRule="atLeast"/>
      <w:ind w:left="2880" w:hanging="360"/>
    </w:pPr>
    <w:rPr>
      <w:lang w:val="en-CA"/>
    </w:rPr>
  </w:style>
  <w:style w:type="paragraph" w:customStyle="1" w:styleId="IntroHead2">
    <w:name w:val="Intro_Head 2"/>
    <w:basedOn w:val="Heading2"/>
    <w:rsid w:val="007F2EFF"/>
    <w:pPr>
      <w:keepNext w:val="0"/>
      <w:widowControl w:val="0"/>
      <w:autoSpaceDE w:val="0"/>
      <w:autoSpaceDN w:val="0"/>
      <w:adjustRightInd w:val="0"/>
      <w:spacing w:before="0" w:after="0"/>
      <w:jc w:val="both"/>
    </w:pPr>
    <w:rPr>
      <w:rFonts w:ascii="Times New Roman" w:hAnsi="Times New Roman" w:cs="Times New Roman"/>
      <w:i w:val="0"/>
      <w:iCs w:val="0"/>
      <w:lang w:val="en-GB"/>
    </w:rPr>
  </w:style>
  <w:style w:type="paragraph" w:customStyle="1" w:styleId="IntroHead1">
    <w:name w:val="Intro_Head1"/>
    <w:basedOn w:val="Normal"/>
    <w:rsid w:val="007F2EFF"/>
    <w:pPr>
      <w:widowControl w:val="0"/>
      <w:tabs>
        <w:tab w:val="center" w:pos="4615"/>
      </w:tabs>
      <w:autoSpaceDE w:val="0"/>
      <w:autoSpaceDN w:val="0"/>
      <w:adjustRightInd w:val="0"/>
      <w:jc w:val="center"/>
    </w:pPr>
    <w:rPr>
      <w:b/>
      <w:bCs/>
      <w:sz w:val="36"/>
      <w:szCs w:val="36"/>
      <w:lang w:val="en-GB"/>
    </w:rPr>
  </w:style>
  <w:style w:type="paragraph" w:customStyle="1" w:styleId="IntroPara">
    <w:name w:val="Intro_Para"/>
    <w:basedOn w:val="Normal"/>
    <w:rsid w:val="007F2EFF"/>
    <w:pPr>
      <w:widowControl w:val="0"/>
      <w:autoSpaceDE w:val="0"/>
      <w:autoSpaceDN w:val="0"/>
      <w:adjustRightInd w:val="0"/>
      <w:ind w:left="720"/>
      <w:jc w:val="both"/>
    </w:pPr>
    <w:rPr>
      <w:lang w:val="en-GB"/>
    </w:rPr>
  </w:style>
  <w:style w:type="paragraph" w:customStyle="1" w:styleId="PolicyPara">
    <w:name w:val="Policy Para"/>
    <w:basedOn w:val="BodyTextIndent"/>
    <w:rsid w:val="007F2EFF"/>
    <w:pPr>
      <w:widowControl w:val="0"/>
      <w:tabs>
        <w:tab w:val="left" w:pos="-1080"/>
        <w:tab w:val="left" w:pos="-720"/>
        <w:tab w:val="left" w:pos="1710"/>
        <w:tab w:val="left" w:pos="2880"/>
      </w:tabs>
      <w:autoSpaceDE w:val="0"/>
      <w:autoSpaceDN w:val="0"/>
      <w:adjustRightInd w:val="0"/>
      <w:spacing w:before="60" w:after="0"/>
      <w:ind w:left="907"/>
    </w:pPr>
    <w:rPr>
      <w:rFonts w:ascii="Arial" w:hAnsi="Arial" w:cs="Arial"/>
      <w:sz w:val="20"/>
      <w:szCs w:val="20"/>
      <w:lang w:val="en-GB"/>
    </w:rPr>
  </w:style>
  <w:style w:type="paragraph" w:styleId="BodyTextIndent">
    <w:name w:val="Body Text Indent"/>
    <w:basedOn w:val="Normal"/>
    <w:semiHidden/>
    <w:rsid w:val="007F2EFF"/>
    <w:pPr>
      <w:spacing w:after="120"/>
      <w:ind w:left="283"/>
    </w:pPr>
  </w:style>
  <w:style w:type="paragraph" w:customStyle="1" w:styleId="PolicyParaANoNumberBullet">
    <w:name w:val="Policy Para A No Number Bullet"/>
    <w:basedOn w:val="Normal"/>
    <w:rsid w:val="007F2EFF"/>
    <w:pPr>
      <w:widowControl w:val="0"/>
      <w:numPr>
        <w:numId w:val="5"/>
      </w:numPr>
      <w:tabs>
        <w:tab w:val="clear" w:pos="2160"/>
        <w:tab w:val="left" w:pos="-1440"/>
        <w:tab w:val="left" w:pos="1980"/>
      </w:tabs>
      <w:autoSpaceDE w:val="0"/>
      <w:autoSpaceDN w:val="0"/>
      <w:adjustRightInd w:val="0"/>
      <w:ind w:left="1980" w:hanging="540"/>
    </w:pPr>
    <w:rPr>
      <w:rFonts w:ascii="Arial" w:hAnsi="Arial" w:cs="Arial"/>
      <w:lang w:val="en-GB"/>
    </w:rPr>
  </w:style>
  <w:style w:type="paragraph" w:customStyle="1" w:styleId="PolicyParaAwithNoNumber">
    <w:name w:val="Policy Para A with  No Number"/>
    <w:basedOn w:val="Normal"/>
    <w:rsid w:val="007F2EFF"/>
    <w:pPr>
      <w:widowControl w:val="0"/>
      <w:tabs>
        <w:tab w:val="left" w:pos="-1080"/>
        <w:tab w:val="left" w:pos="-720"/>
        <w:tab w:val="left" w:pos="1440"/>
        <w:tab w:val="left" w:pos="1710"/>
        <w:tab w:val="left" w:pos="2880"/>
      </w:tabs>
      <w:autoSpaceDE w:val="0"/>
      <w:autoSpaceDN w:val="0"/>
      <w:adjustRightInd w:val="0"/>
      <w:spacing w:before="60"/>
      <w:ind w:left="1454" w:hanging="547"/>
    </w:pPr>
    <w:rPr>
      <w:rFonts w:ascii="Arial" w:hAnsi="Arial" w:cs="Arial"/>
      <w:sz w:val="20"/>
      <w:szCs w:val="20"/>
      <w:lang w:val="en-GB"/>
    </w:rPr>
  </w:style>
  <w:style w:type="paragraph" w:customStyle="1" w:styleId="PolicyParaAwithNumber">
    <w:name w:val="Policy Para A with Number"/>
    <w:basedOn w:val="Normal"/>
    <w:rsid w:val="007F2EFF"/>
    <w:pPr>
      <w:widowControl w:val="0"/>
      <w:tabs>
        <w:tab w:val="left" w:pos="-1080"/>
        <w:tab w:val="left" w:pos="-720"/>
        <w:tab w:val="left" w:pos="18"/>
        <w:tab w:val="left" w:pos="900"/>
        <w:tab w:val="left" w:pos="1440"/>
        <w:tab w:val="left" w:pos="1710"/>
        <w:tab w:val="left" w:pos="2880"/>
      </w:tabs>
      <w:autoSpaceDE w:val="0"/>
      <w:autoSpaceDN w:val="0"/>
      <w:adjustRightInd w:val="0"/>
      <w:ind w:left="1440" w:hanging="1440"/>
    </w:pPr>
    <w:rPr>
      <w:rFonts w:ascii="Arial" w:hAnsi="Arial" w:cs="Arial"/>
      <w:sz w:val="20"/>
      <w:szCs w:val="20"/>
      <w:lang w:val="en-GB"/>
    </w:rPr>
  </w:style>
  <w:style w:type="paragraph" w:customStyle="1" w:styleId="PolicyParawithNumber">
    <w:name w:val="Policy Para with Number"/>
    <w:basedOn w:val="Normal"/>
    <w:rsid w:val="007F2EFF"/>
    <w:pPr>
      <w:widowControl w:val="0"/>
      <w:tabs>
        <w:tab w:val="left" w:pos="-1080"/>
        <w:tab w:val="left" w:pos="-720"/>
        <w:tab w:val="left" w:pos="18"/>
        <w:tab w:val="left" w:pos="900"/>
        <w:tab w:val="left" w:pos="1260"/>
        <w:tab w:val="left" w:pos="1710"/>
        <w:tab w:val="left" w:pos="2880"/>
      </w:tabs>
      <w:autoSpaceDE w:val="0"/>
      <w:autoSpaceDN w:val="0"/>
      <w:adjustRightInd w:val="0"/>
      <w:spacing w:before="60"/>
      <w:ind w:left="907" w:hanging="907"/>
    </w:pPr>
    <w:rPr>
      <w:rFonts w:ascii="Arial" w:hAnsi="Arial" w:cs="Arial"/>
      <w:sz w:val="20"/>
      <w:szCs w:val="20"/>
      <w:lang w:val="en-GB"/>
    </w:rPr>
  </w:style>
  <w:style w:type="paragraph" w:customStyle="1" w:styleId="PolicySub-Para">
    <w:name w:val="Policy Sub-Para"/>
    <w:basedOn w:val="Normal"/>
    <w:rsid w:val="007F2EFF"/>
    <w:pPr>
      <w:widowControl w:val="0"/>
      <w:tabs>
        <w:tab w:val="left" w:pos="-1440"/>
      </w:tabs>
      <w:autoSpaceDE w:val="0"/>
      <w:autoSpaceDN w:val="0"/>
      <w:adjustRightInd w:val="0"/>
      <w:ind w:left="2160" w:hanging="720"/>
    </w:pPr>
    <w:rPr>
      <w:rFonts w:ascii="Arial" w:hAnsi="Arial" w:cs="Arial"/>
      <w:sz w:val="20"/>
      <w:szCs w:val="20"/>
      <w:lang w:val="en-GB"/>
    </w:rPr>
  </w:style>
  <w:style w:type="paragraph" w:customStyle="1" w:styleId="PolicySub-SubPara">
    <w:name w:val="Policy Sub-Sub Para"/>
    <w:basedOn w:val="PolicyParaAwithNoNumber"/>
    <w:rsid w:val="007F2EFF"/>
    <w:pPr>
      <w:tabs>
        <w:tab w:val="clear" w:pos="1440"/>
        <w:tab w:val="clear" w:pos="2880"/>
        <w:tab w:val="left" w:pos="2700"/>
      </w:tabs>
      <w:ind w:left="2700"/>
    </w:pPr>
  </w:style>
  <w:style w:type="paragraph" w:customStyle="1" w:styleId="PolicyHead1">
    <w:name w:val="Policy_Head 1"/>
    <w:basedOn w:val="Heading1"/>
    <w:rsid w:val="007F2EFF"/>
    <w:pPr>
      <w:widowControl w:val="0"/>
      <w:tabs>
        <w:tab w:val="left" w:pos="-1080"/>
        <w:tab w:val="left" w:pos="-720"/>
        <w:tab w:val="left" w:pos="18"/>
        <w:tab w:val="left" w:pos="900"/>
        <w:tab w:val="left" w:pos="1260"/>
        <w:tab w:val="left" w:pos="1710"/>
        <w:tab w:val="left" w:pos="2880"/>
      </w:tabs>
      <w:autoSpaceDE w:val="0"/>
      <w:autoSpaceDN w:val="0"/>
      <w:adjustRightInd w:val="0"/>
      <w:spacing w:before="0" w:after="0"/>
    </w:pPr>
    <w:rPr>
      <w:kern w:val="0"/>
      <w:sz w:val="20"/>
      <w:szCs w:val="20"/>
      <w:lang w:val="en-GB"/>
    </w:rPr>
  </w:style>
  <w:style w:type="paragraph" w:customStyle="1" w:styleId="PolicyHead2">
    <w:name w:val="Policy_Head 2"/>
    <w:basedOn w:val="Normal"/>
    <w:rsid w:val="007F2EFF"/>
    <w:pPr>
      <w:widowControl w:val="0"/>
      <w:tabs>
        <w:tab w:val="left" w:pos="-1080"/>
        <w:tab w:val="left" w:pos="-720"/>
        <w:tab w:val="left" w:pos="18"/>
        <w:tab w:val="left" w:pos="900"/>
        <w:tab w:val="left" w:pos="1260"/>
        <w:tab w:val="left" w:pos="1710"/>
        <w:tab w:val="left" w:pos="2880"/>
      </w:tabs>
      <w:autoSpaceDE w:val="0"/>
      <w:autoSpaceDN w:val="0"/>
      <w:adjustRightInd w:val="0"/>
      <w:ind w:left="900" w:hanging="900"/>
    </w:pPr>
    <w:rPr>
      <w:rFonts w:ascii="Arial" w:hAnsi="Arial" w:cs="Arial"/>
      <w:sz w:val="20"/>
      <w:szCs w:val="20"/>
      <w:lang w:val="en-GB"/>
    </w:rPr>
  </w:style>
  <w:style w:type="paragraph" w:customStyle="1" w:styleId="PolicyParaBullet">
    <w:name w:val="Policy_Para Bullet"/>
    <w:basedOn w:val="PolicyParaAwithNoNumber"/>
    <w:rsid w:val="007F2EFF"/>
    <w:pPr>
      <w:numPr>
        <w:numId w:val="6"/>
      </w:numPr>
      <w:tabs>
        <w:tab w:val="clear" w:pos="1620"/>
        <w:tab w:val="num" w:pos="1440"/>
      </w:tabs>
      <w:ind w:left="1440" w:hanging="540"/>
    </w:pPr>
  </w:style>
  <w:style w:type="paragraph" w:styleId="BodyTextIndent2">
    <w:name w:val="Body Text Indent 2"/>
    <w:basedOn w:val="Normal"/>
    <w:semiHidden/>
    <w:rsid w:val="007F2EFF"/>
    <w:pPr>
      <w:overflowPunct w:val="0"/>
      <w:autoSpaceDE w:val="0"/>
      <w:autoSpaceDN w:val="0"/>
      <w:adjustRightInd w:val="0"/>
      <w:ind w:left="2880" w:hanging="2880"/>
      <w:textAlignment w:val="baseline"/>
    </w:pPr>
    <w:rPr>
      <w:rFonts w:ascii="Arial" w:hAnsi="Arial" w:cs="Arial"/>
      <w:color w:val="FF0000"/>
      <w:szCs w:val="20"/>
      <w:lang w:val="en-CA"/>
    </w:rPr>
  </w:style>
  <w:style w:type="paragraph" w:styleId="Header">
    <w:name w:val="header"/>
    <w:basedOn w:val="Normal"/>
    <w:link w:val="HeaderChar"/>
    <w:uiPriority w:val="99"/>
    <w:rsid w:val="007F2EFF"/>
    <w:pPr>
      <w:tabs>
        <w:tab w:val="center" w:pos="4320"/>
        <w:tab w:val="right" w:pos="8640"/>
      </w:tabs>
    </w:pPr>
  </w:style>
  <w:style w:type="paragraph" w:styleId="Footer">
    <w:name w:val="footer"/>
    <w:basedOn w:val="Normal"/>
    <w:rsid w:val="007F2EFF"/>
    <w:pPr>
      <w:tabs>
        <w:tab w:val="center" w:pos="4320"/>
        <w:tab w:val="right" w:pos="8640"/>
      </w:tabs>
    </w:pPr>
  </w:style>
  <w:style w:type="character" w:styleId="PageNumber">
    <w:name w:val="page number"/>
    <w:basedOn w:val="DefaultParagraphFont"/>
    <w:rsid w:val="007F2EFF"/>
  </w:style>
  <w:style w:type="paragraph" w:customStyle="1" w:styleId="FAPPPolicyPara">
    <w:name w:val="FAPP_Policy Para"/>
    <w:basedOn w:val="Normal"/>
    <w:rsid w:val="007F2EFF"/>
    <w:pPr>
      <w:widowControl w:val="0"/>
      <w:tabs>
        <w:tab w:val="left" w:pos="-1080"/>
        <w:tab w:val="left" w:pos="-720"/>
        <w:tab w:val="left" w:pos="1710"/>
        <w:tab w:val="left" w:pos="2880"/>
      </w:tabs>
      <w:autoSpaceDE w:val="0"/>
      <w:autoSpaceDN w:val="0"/>
      <w:adjustRightInd w:val="0"/>
      <w:spacing w:before="60"/>
      <w:ind w:left="907"/>
    </w:pPr>
    <w:rPr>
      <w:rFonts w:ascii="Arial" w:hAnsi="Arial" w:cs="Arial"/>
      <w:sz w:val="22"/>
      <w:szCs w:val="20"/>
      <w:lang w:val="en-GB"/>
    </w:rPr>
  </w:style>
  <w:style w:type="paragraph" w:customStyle="1" w:styleId="FAPPPolicyParaAwithNoNumber">
    <w:name w:val="FAPP_Policy Para A with  No Number"/>
    <w:basedOn w:val="PolicyParaAwithNoNumber"/>
    <w:rsid w:val="007F2EFF"/>
    <w:pPr>
      <w:spacing w:after="60"/>
    </w:pPr>
    <w:rPr>
      <w:sz w:val="22"/>
    </w:rPr>
  </w:style>
  <w:style w:type="paragraph" w:customStyle="1" w:styleId="FAPPPolicyParawithNumber">
    <w:name w:val="FAPP_Policy Para with Number"/>
    <w:basedOn w:val="Normal"/>
    <w:rsid w:val="007F2EFF"/>
    <w:pPr>
      <w:widowControl w:val="0"/>
      <w:tabs>
        <w:tab w:val="left" w:pos="-1080"/>
        <w:tab w:val="left" w:pos="-720"/>
        <w:tab w:val="left" w:pos="18"/>
        <w:tab w:val="left" w:pos="900"/>
        <w:tab w:val="left" w:pos="1260"/>
        <w:tab w:val="left" w:pos="1710"/>
        <w:tab w:val="left" w:pos="2880"/>
      </w:tabs>
      <w:autoSpaceDE w:val="0"/>
      <w:autoSpaceDN w:val="0"/>
      <w:adjustRightInd w:val="0"/>
      <w:spacing w:before="60"/>
      <w:ind w:left="907" w:hanging="907"/>
    </w:pPr>
    <w:rPr>
      <w:rFonts w:ascii="Arial" w:hAnsi="Arial" w:cs="Arial"/>
      <w:sz w:val="22"/>
      <w:szCs w:val="20"/>
      <w:lang w:val="en-GB"/>
    </w:rPr>
  </w:style>
  <w:style w:type="paragraph" w:customStyle="1" w:styleId="FAPPPolicySub-Para">
    <w:name w:val="FAPP_Policy Sub-Para"/>
    <w:basedOn w:val="Normal"/>
    <w:rsid w:val="007F2EFF"/>
    <w:pPr>
      <w:widowControl w:val="0"/>
      <w:tabs>
        <w:tab w:val="left" w:pos="-1440"/>
      </w:tabs>
      <w:autoSpaceDE w:val="0"/>
      <w:autoSpaceDN w:val="0"/>
      <w:adjustRightInd w:val="0"/>
      <w:ind w:left="2160" w:hanging="540"/>
    </w:pPr>
    <w:rPr>
      <w:rFonts w:ascii="Arial" w:hAnsi="Arial" w:cs="Arial"/>
      <w:sz w:val="22"/>
      <w:szCs w:val="20"/>
      <w:lang w:val="en-GB"/>
    </w:rPr>
  </w:style>
  <w:style w:type="paragraph" w:customStyle="1" w:styleId="FAPPPolicyHead1">
    <w:name w:val="FAPP_Policy_Head 1"/>
    <w:basedOn w:val="Normal"/>
    <w:rsid w:val="007F2EFF"/>
    <w:pPr>
      <w:keepNext/>
      <w:widowControl w:val="0"/>
      <w:tabs>
        <w:tab w:val="left" w:pos="-1080"/>
        <w:tab w:val="left" w:pos="-720"/>
        <w:tab w:val="left" w:pos="18"/>
        <w:tab w:val="left" w:pos="900"/>
        <w:tab w:val="left" w:pos="1260"/>
        <w:tab w:val="left" w:pos="1710"/>
        <w:tab w:val="left" w:pos="2880"/>
      </w:tabs>
      <w:autoSpaceDE w:val="0"/>
      <w:autoSpaceDN w:val="0"/>
      <w:adjustRightInd w:val="0"/>
      <w:outlineLvl w:val="0"/>
    </w:pPr>
    <w:rPr>
      <w:rFonts w:ascii="Arial" w:hAnsi="Arial" w:cs="Arial"/>
      <w:b/>
      <w:bCs/>
      <w:sz w:val="22"/>
      <w:szCs w:val="20"/>
      <w:lang w:val="en-GB"/>
    </w:rPr>
  </w:style>
  <w:style w:type="paragraph" w:customStyle="1" w:styleId="FAAPyParaBullet">
    <w:name w:val="FAAP_y_Para Bullet"/>
    <w:basedOn w:val="PolicyParaBullet"/>
    <w:rsid w:val="007F2EFF"/>
    <w:rPr>
      <w:sz w:val="22"/>
    </w:rPr>
  </w:style>
  <w:style w:type="paragraph" w:customStyle="1" w:styleId="FAAPPolicyParaBullet">
    <w:name w:val="FAAP_Policy Para Bullet"/>
    <w:basedOn w:val="FAAPyParaBullet"/>
    <w:rsid w:val="007F2EFF"/>
  </w:style>
  <w:style w:type="paragraph" w:customStyle="1" w:styleId="FHB">
    <w:name w:val="FHB"/>
    <w:basedOn w:val="Normal"/>
    <w:rsid w:val="007F2EF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jc w:val="center"/>
    </w:pPr>
    <w:rPr>
      <w:rFonts w:ascii="Arial" w:hAnsi="Arial"/>
      <w:b/>
      <w:sz w:val="20"/>
      <w:szCs w:val="20"/>
      <w:lang w:val="en-CA"/>
    </w:rPr>
  </w:style>
  <w:style w:type="paragraph" w:customStyle="1" w:styleId="FHC">
    <w:name w:val="FHC"/>
    <w:basedOn w:val="Normal"/>
    <w:rsid w:val="007F2EF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jc w:val="center"/>
    </w:pPr>
    <w:rPr>
      <w:rFonts w:ascii="Arial" w:hAnsi="Arial"/>
      <w:sz w:val="20"/>
      <w:szCs w:val="20"/>
      <w:lang w:val="en-CA"/>
    </w:rPr>
  </w:style>
  <w:style w:type="paragraph" w:customStyle="1" w:styleId="FHL">
    <w:name w:val="FHL"/>
    <w:basedOn w:val="Normal"/>
    <w:rsid w:val="007F2EF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pPr>
    <w:rPr>
      <w:rFonts w:ascii="Arial" w:hAnsi="Arial"/>
      <w:sz w:val="20"/>
      <w:szCs w:val="20"/>
      <w:lang w:val="en-CA"/>
    </w:rPr>
  </w:style>
  <w:style w:type="paragraph" w:styleId="BalloonText">
    <w:name w:val="Balloon Text"/>
    <w:basedOn w:val="Normal"/>
    <w:semiHidden/>
    <w:rsid w:val="007F2EFF"/>
    <w:rPr>
      <w:rFonts w:ascii="Tahoma" w:hAnsi="Tahoma" w:cs="Tahoma"/>
      <w:sz w:val="16"/>
      <w:szCs w:val="16"/>
    </w:rPr>
  </w:style>
  <w:style w:type="character" w:styleId="CommentReference">
    <w:name w:val="annotation reference"/>
    <w:semiHidden/>
    <w:rsid w:val="007F2EFF"/>
    <w:rPr>
      <w:sz w:val="16"/>
      <w:szCs w:val="16"/>
    </w:rPr>
  </w:style>
  <w:style w:type="paragraph" w:styleId="CommentText">
    <w:name w:val="annotation text"/>
    <w:basedOn w:val="Normal"/>
    <w:semiHidden/>
    <w:rsid w:val="007F2EFF"/>
    <w:rPr>
      <w:sz w:val="20"/>
      <w:szCs w:val="20"/>
    </w:rPr>
  </w:style>
  <w:style w:type="paragraph" w:styleId="CommentSubject">
    <w:name w:val="annotation subject"/>
    <w:basedOn w:val="CommentText"/>
    <w:next w:val="CommentText"/>
    <w:semiHidden/>
    <w:rsid w:val="007F2EFF"/>
    <w:rPr>
      <w:b/>
      <w:bCs/>
    </w:rPr>
  </w:style>
  <w:style w:type="character" w:customStyle="1" w:styleId="HeaderChar">
    <w:name w:val="Header Char"/>
    <w:link w:val="Header"/>
    <w:uiPriority w:val="99"/>
    <w:rsid w:val="00EB43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791157">
      <w:bodyDiv w:val="1"/>
      <w:marLeft w:val="0"/>
      <w:marRight w:val="0"/>
      <w:marTop w:val="0"/>
      <w:marBottom w:val="0"/>
      <w:divBdr>
        <w:top w:val="none" w:sz="0" w:space="0" w:color="auto"/>
        <w:left w:val="none" w:sz="0" w:space="0" w:color="auto"/>
        <w:bottom w:val="none" w:sz="0" w:space="0" w:color="auto"/>
        <w:right w:val="none" w:sz="0" w:space="0" w:color="auto"/>
      </w:divBdr>
    </w:div>
    <w:div w:id="137765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92E6-36C5-46AD-B8E5-3C7B428F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2.04 - Expense Advances and Expense Accounts</vt:lpstr>
    </vt:vector>
  </TitlesOfParts>
  <Company>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2.04 - Expense Advances and Expense Accounts</dc:title>
  <dc:subject>Policy</dc:subject>
  <dc:creator>Mickey Kovacs</dc:creator>
  <cp:keywords/>
  <dc:description/>
  <cp:lastModifiedBy>Jodi Skipper</cp:lastModifiedBy>
  <cp:revision>3</cp:revision>
  <cp:lastPrinted>2011-06-03T15:38:00Z</cp:lastPrinted>
  <dcterms:created xsi:type="dcterms:W3CDTF">2021-04-16T19:49:00Z</dcterms:created>
  <dcterms:modified xsi:type="dcterms:W3CDTF">2024-04-15T18:11:00Z</dcterms:modified>
  <cp:category>The Purchasing Cycle</cp:category>
</cp:coreProperties>
</file>