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1B1" w:rsidRDefault="002911B1">
      <w:pPr>
        <w:pStyle w:val="FAPPPolicyHead1"/>
      </w:pPr>
      <w:r>
        <w:t>1</w:t>
      </w:r>
      <w:r>
        <w:tab/>
        <w:t xml:space="preserve">POLICY </w:t>
      </w:r>
    </w:p>
    <w:p w:rsidR="002911B1" w:rsidRDefault="002911B1">
      <w:pPr>
        <w:pStyle w:val="FAPPPolicyParawithNumber"/>
      </w:pPr>
      <w:r>
        <w:t>1.01</w:t>
      </w:r>
      <w:r>
        <w:tab/>
        <w:t xml:space="preserve">Employees </w:t>
      </w:r>
      <w:proofErr w:type="gramStart"/>
      <w:r>
        <w:t>shall be given</w:t>
      </w:r>
      <w:proofErr w:type="gramEnd"/>
      <w:r>
        <w:t xml:space="preserve"> access to a</w:t>
      </w:r>
      <w:r w:rsidR="00996083">
        <w:t>n</w:t>
      </w:r>
      <w:r>
        <w:t xml:space="preserve"> </w:t>
      </w:r>
      <w:r w:rsidR="00A82A10">
        <w:t>Agency</w:t>
      </w:r>
      <w:r>
        <w:t xml:space="preserve"> credit card where the nature of their job requires such use.  </w:t>
      </w:r>
    </w:p>
    <w:p w:rsidR="002911B1" w:rsidRDefault="002911B1">
      <w:pPr>
        <w:pStyle w:val="FAPPPolicyParawithNumber"/>
      </w:pPr>
    </w:p>
    <w:p w:rsidR="002911B1" w:rsidRDefault="002911B1">
      <w:pPr>
        <w:pStyle w:val="FAPPPolicyParawithNumber"/>
      </w:pPr>
      <w:r>
        <w:t>1.02</w:t>
      </w:r>
      <w:r>
        <w:tab/>
      </w:r>
      <w:r w:rsidR="00A82A10">
        <w:t>Agency</w:t>
      </w:r>
      <w:r>
        <w:t xml:space="preserve"> credit cards </w:t>
      </w:r>
      <w:proofErr w:type="gramStart"/>
      <w:r>
        <w:t>may only be used</w:t>
      </w:r>
      <w:proofErr w:type="gramEnd"/>
      <w:r>
        <w:t xml:space="preserve"> for business expenses and may not be used for expenses of a personal nature.</w:t>
      </w:r>
    </w:p>
    <w:p w:rsidR="002911B1" w:rsidRDefault="002911B1">
      <w:pPr>
        <w:pStyle w:val="FAPPPolicyParawithNumber"/>
      </w:pPr>
    </w:p>
    <w:p w:rsidR="002911B1" w:rsidRDefault="002911B1">
      <w:pPr>
        <w:pStyle w:val="FAPPPolicyParawithNumber"/>
      </w:pPr>
    </w:p>
    <w:p w:rsidR="002911B1" w:rsidRDefault="002911B1">
      <w:pPr>
        <w:pStyle w:val="FAPPPolicyHead1"/>
      </w:pPr>
      <w:r>
        <w:t>2</w:t>
      </w:r>
      <w:r>
        <w:tab/>
        <w:t>PURPOSE</w:t>
      </w:r>
    </w:p>
    <w:p w:rsidR="002911B1" w:rsidRDefault="002911B1">
      <w:pPr>
        <w:pStyle w:val="FAPPPolicyParawithNumber"/>
        <w:rPr>
          <w:b/>
          <w:bCs/>
        </w:rPr>
      </w:pPr>
      <w:r>
        <w:t>2.01</w:t>
      </w:r>
      <w:r>
        <w:tab/>
        <w:t xml:space="preserve">The purpose of this Statement of Policy and Procedure is to ensure that </w:t>
      </w:r>
      <w:r w:rsidR="00A82A10">
        <w:t>Agency</w:t>
      </w:r>
      <w:r>
        <w:t xml:space="preserve"> credit cards </w:t>
      </w:r>
      <w:proofErr w:type="gramStart"/>
      <w:r>
        <w:t>are used</w:t>
      </w:r>
      <w:proofErr w:type="gramEnd"/>
      <w:r>
        <w:t xml:space="preserve"> fo</w:t>
      </w:r>
      <w:r w:rsidR="00A82A10">
        <w:t xml:space="preserve">r appropriate purposes and </w:t>
      </w:r>
      <w:r>
        <w:t>ad</w:t>
      </w:r>
      <w:r w:rsidR="00854CCE">
        <w:t xml:space="preserve">equate controls are established </w:t>
      </w:r>
      <w:r>
        <w:t xml:space="preserve">for day-to-day use. </w:t>
      </w:r>
    </w:p>
    <w:p w:rsidR="002911B1" w:rsidRDefault="002911B1">
      <w:pPr>
        <w:pStyle w:val="FAPPPolicyParawithNumber"/>
      </w:pPr>
    </w:p>
    <w:p w:rsidR="002911B1" w:rsidRDefault="002911B1">
      <w:pPr>
        <w:pStyle w:val="FAPPPolicyParawithNumber"/>
      </w:pPr>
    </w:p>
    <w:p w:rsidR="002911B1" w:rsidRDefault="002911B1">
      <w:pPr>
        <w:pStyle w:val="FAPPPolicyHead1"/>
      </w:pPr>
      <w:r>
        <w:t>3</w:t>
      </w:r>
      <w:r>
        <w:tab/>
        <w:t>SCOPE</w:t>
      </w:r>
    </w:p>
    <w:p w:rsidR="002911B1" w:rsidRDefault="002911B1">
      <w:pPr>
        <w:pStyle w:val="FAPPPolicyParawithNumber"/>
      </w:pPr>
      <w:r>
        <w:t>3.01</w:t>
      </w:r>
      <w:r>
        <w:tab/>
        <w:t xml:space="preserve">The </w:t>
      </w:r>
      <w:r w:rsidR="00A82A10">
        <w:t>Agency</w:t>
      </w:r>
      <w:r>
        <w:t xml:space="preserve"> Credit Cards policy applies to all employees who maintain a credit card for </w:t>
      </w:r>
      <w:r w:rsidR="00A82A10">
        <w:t>Agency</w:t>
      </w:r>
      <w:r>
        <w:t xml:space="preserve"> use</w:t>
      </w:r>
      <w:r w:rsidR="005F61DB">
        <w:t>.</w:t>
      </w:r>
    </w:p>
    <w:p w:rsidR="002911B1" w:rsidRDefault="002911B1">
      <w:pPr>
        <w:pStyle w:val="FAPPPolicyParawithNumber"/>
      </w:pPr>
    </w:p>
    <w:p w:rsidR="002911B1" w:rsidRDefault="002911B1">
      <w:pPr>
        <w:pStyle w:val="FAPPPolicyParawithNumber"/>
      </w:pPr>
    </w:p>
    <w:p w:rsidR="002911B1" w:rsidRDefault="002911B1">
      <w:pPr>
        <w:pStyle w:val="FAPPPolicyHead1"/>
      </w:pPr>
      <w:r>
        <w:t>4</w:t>
      </w:r>
      <w:r>
        <w:tab/>
        <w:t>RESPONSIBILITY</w:t>
      </w:r>
    </w:p>
    <w:p w:rsidR="002911B1" w:rsidRDefault="002911B1">
      <w:pPr>
        <w:pStyle w:val="FAPPPolicyParawithNumber"/>
      </w:pPr>
      <w:r>
        <w:t>4.01</w:t>
      </w:r>
      <w:r>
        <w:tab/>
        <w:t xml:space="preserve">Individuals holding </w:t>
      </w:r>
      <w:r w:rsidR="00A82A10">
        <w:t>Agency</w:t>
      </w:r>
      <w:r>
        <w:t xml:space="preserve"> Credit Cards are responsible </w:t>
      </w:r>
      <w:proofErr w:type="gramStart"/>
      <w:r>
        <w:t>for</w:t>
      </w:r>
      <w:proofErr w:type="gramEnd"/>
      <w:r>
        <w:t>:</w:t>
      </w:r>
    </w:p>
    <w:p w:rsidR="002911B1" w:rsidRDefault="002911B1">
      <w:pPr>
        <w:pStyle w:val="FAAPPolicyParaBullet"/>
      </w:pPr>
      <w:r>
        <w:t>Using the cards only for their intended purpose</w:t>
      </w:r>
    </w:p>
    <w:p w:rsidR="002911B1" w:rsidRDefault="002911B1">
      <w:pPr>
        <w:pStyle w:val="FAAPPolicyParaBullet"/>
      </w:pPr>
      <w:r>
        <w:t xml:space="preserve">Retaining receipts and providing explanations for all </w:t>
      </w:r>
      <w:r w:rsidR="00A82A10">
        <w:t>Agency</w:t>
      </w:r>
      <w:r>
        <w:t xml:space="preserve"> credit card transactions</w:t>
      </w:r>
    </w:p>
    <w:p w:rsidR="002911B1" w:rsidRDefault="002911B1">
      <w:pPr>
        <w:pStyle w:val="FAAPPolicyParaBullet"/>
      </w:pPr>
      <w:r>
        <w:t xml:space="preserve">Obtaining authorization for credit card invoices </w:t>
      </w:r>
      <w:r w:rsidR="00EA2840">
        <w:t>over $</w:t>
      </w:r>
      <w:r w:rsidR="00A9563A">
        <w:t>2</w:t>
      </w:r>
      <w:r w:rsidR="00EA2840">
        <w:t>,</w:t>
      </w:r>
      <w:r w:rsidR="00A9563A">
        <w:t>499</w:t>
      </w:r>
      <w:r w:rsidR="00EA2840">
        <w:t>.</w:t>
      </w:r>
    </w:p>
    <w:p w:rsidR="002911B1" w:rsidRDefault="002911B1">
      <w:pPr>
        <w:pStyle w:val="FAPPPolicyPara"/>
      </w:pPr>
    </w:p>
    <w:p w:rsidR="002911B1" w:rsidRDefault="002911B1">
      <w:pPr>
        <w:pStyle w:val="FAPPPolicyParawithNumber"/>
      </w:pPr>
      <w:r>
        <w:t>4.02</w:t>
      </w:r>
      <w:r>
        <w:tab/>
        <w:t xml:space="preserve">The </w:t>
      </w:r>
      <w:r w:rsidR="006A1CC4">
        <w:rPr>
          <w:b/>
        </w:rPr>
        <w:t>Executive D</w:t>
      </w:r>
      <w:r w:rsidRPr="006A1CC4">
        <w:rPr>
          <w:b/>
        </w:rPr>
        <w:t>irector</w:t>
      </w:r>
      <w:r>
        <w:t xml:space="preserve"> is responsible </w:t>
      </w:r>
      <w:proofErr w:type="gramStart"/>
      <w:r>
        <w:t>for</w:t>
      </w:r>
      <w:proofErr w:type="gramEnd"/>
      <w:r>
        <w:t>:</w:t>
      </w:r>
    </w:p>
    <w:p w:rsidR="002911B1" w:rsidRDefault="002911B1">
      <w:pPr>
        <w:pStyle w:val="FAAPPolicyParaBullet"/>
      </w:pPr>
      <w:r>
        <w:t xml:space="preserve">Limiting the use of </w:t>
      </w:r>
      <w:r w:rsidR="00A82A10">
        <w:t>Agency</w:t>
      </w:r>
      <w:r>
        <w:t xml:space="preserve"> credit cards to those employees who require a card for </w:t>
      </w:r>
      <w:r w:rsidR="00A82A10">
        <w:t>Agency</w:t>
      </w:r>
      <w:r>
        <w:t xml:space="preserve"> business</w:t>
      </w:r>
    </w:p>
    <w:p w:rsidR="00CE2893" w:rsidRDefault="00CE2893">
      <w:pPr>
        <w:pStyle w:val="FAAPPolicyParaBullet"/>
      </w:pPr>
      <w:r>
        <w:t>Signing new credit card applications</w:t>
      </w:r>
    </w:p>
    <w:p w:rsidR="002911B1" w:rsidRDefault="002911B1" w:rsidP="002911B1">
      <w:pPr>
        <w:pStyle w:val="FAAPPolicyParaBullet"/>
        <w:numPr>
          <w:ilvl w:val="0"/>
          <w:numId w:val="0"/>
        </w:numPr>
        <w:ind w:left="1440" w:hanging="540"/>
      </w:pPr>
    </w:p>
    <w:p w:rsidR="002911B1" w:rsidRDefault="002911B1" w:rsidP="002911B1">
      <w:pPr>
        <w:pStyle w:val="FAAPPolicyParaBullet"/>
        <w:numPr>
          <w:ilvl w:val="0"/>
          <w:numId w:val="0"/>
        </w:numPr>
        <w:ind w:left="990" w:hanging="990"/>
      </w:pPr>
      <w:r>
        <w:t>4.03</w:t>
      </w:r>
      <w:r>
        <w:tab/>
        <w:t xml:space="preserve">The </w:t>
      </w:r>
      <w:r w:rsidR="006A1CC4">
        <w:rPr>
          <w:b/>
        </w:rPr>
        <w:t>D</w:t>
      </w:r>
      <w:r w:rsidRPr="006A1CC4">
        <w:rPr>
          <w:b/>
        </w:rPr>
        <w:t>irector</w:t>
      </w:r>
      <w:r>
        <w:t xml:space="preserve"> is responsible </w:t>
      </w:r>
      <w:proofErr w:type="gramStart"/>
      <w:r>
        <w:t>for</w:t>
      </w:r>
      <w:proofErr w:type="gramEnd"/>
      <w:r>
        <w:t>:</w:t>
      </w:r>
    </w:p>
    <w:p w:rsidR="002911B1" w:rsidRDefault="002911B1" w:rsidP="002911B1">
      <w:pPr>
        <w:pStyle w:val="FAAPPolicyParaBullet"/>
        <w:tabs>
          <w:tab w:val="clear" w:pos="1440"/>
          <w:tab w:val="clear" w:pos="1710"/>
          <w:tab w:val="clear" w:pos="2880"/>
        </w:tabs>
      </w:pPr>
      <w:r>
        <w:t>Reviewing and authorizing credit card invoices on a timely basis</w:t>
      </w:r>
    </w:p>
    <w:p w:rsidR="002911B1" w:rsidRDefault="002911B1">
      <w:pPr>
        <w:pStyle w:val="FAAPPolicyParaBullet"/>
      </w:pPr>
      <w:r>
        <w:t>Identifying any credit or transaction-level limits required for individual cards</w:t>
      </w:r>
    </w:p>
    <w:p w:rsidR="002911B1" w:rsidRDefault="002911B1">
      <w:pPr>
        <w:pStyle w:val="FAPPPolicyParawithNumber"/>
      </w:pPr>
    </w:p>
    <w:p w:rsidR="002911B1" w:rsidRDefault="002911B1">
      <w:pPr>
        <w:pStyle w:val="FAPPPolicyParawithNumber"/>
      </w:pPr>
    </w:p>
    <w:p w:rsidR="002911B1" w:rsidRDefault="002911B1">
      <w:pPr>
        <w:pStyle w:val="FAPPPolicyParawithNumber"/>
      </w:pPr>
      <w:r>
        <w:t>4.03</w:t>
      </w:r>
      <w:r>
        <w:tab/>
        <w:t xml:space="preserve">The </w:t>
      </w:r>
      <w:r w:rsidR="00EA2840">
        <w:rPr>
          <w:b/>
        </w:rPr>
        <w:t>Accounting Manager</w:t>
      </w:r>
      <w:r>
        <w:t xml:space="preserve"> is responsible </w:t>
      </w:r>
      <w:proofErr w:type="gramStart"/>
      <w:r>
        <w:t>for</w:t>
      </w:r>
      <w:proofErr w:type="gramEnd"/>
      <w:r>
        <w:t>:</w:t>
      </w:r>
    </w:p>
    <w:p w:rsidR="002911B1" w:rsidRDefault="00CE2893">
      <w:pPr>
        <w:pStyle w:val="FAAPPolicyParaBullet"/>
      </w:pPr>
      <w:r>
        <w:t>Completing and submitting applications for new cards</w:t>
      </w:r>
    </w:p>
    <w:p w:rsidR="00CE2893" w:rsidRDefault="00CE2893">
      <w:pPr>
        <w:pStyle w:val="FAAPPolicyParaBullet"/>
      </w:pPr>
      <w:r>
        <w:t>Ensuring that all credit card transactions are properly authorized</w:t>
      </w:r>
    </w:p>
    <w:p w:rsidR="002911B1" w:rsidRDefault="002911B1">
      <w:pPr>
        <w:pStyle w:val="FAAPPolicyParaBullet"/>
      </w:pPr>
      <w:r>
        <w:t>Processing payments for credit card invoices on a timely basis to avoid late payment charges</w:t>
      </w:r>
    </w:p>
    <w:p w:rsidR="002911B1" w:rsidRDefault="002911B1">
      <w:pPr>
        <w:pStyle w:val="FAAPPolicyParaBullet"/>
      </w:pPr>
      <w:r>
        <w:t>Arranging credit or transaction-level limits for individual cards</w:t>
      </w:r>
    </w:p>
    <w:p w:rsidR="002911B1" w:rsidRDefault="002911B1">
      <w:pPr>
        <w:pStyle w:val="FAPPPolicyPara"/>
      </w:pPr>
    </w:p>
    <w:p w:rsidR="002911B1" w:rsidRDefault="002911B1">
      <w:pPr>
        <w:pStyle w:val="FAPPPolicyPara"/>
      </w:pPr>
    </w:p>
    <w:p w:rsidR="002911B1" w:rsidRDefault="002911B1">
      <w:pPr>
        <w:pStyle w:val="FAPPPolicyHead1"/>
      </w:pPr>
      <w:r>
        <w:t>5</w:t>
      </w:r>
      <w:r>
        <w:tab/>
        <w:t>DEFINITIONS</w:t>
      </w:r>
    </w:p>
    <w:p w:rsidR="002911B1" w:rsidRDefault="002911B1">
      <w:pPr>
        <w:pStyle w:val="FAPPPolicyParawithNumber"/>
      </w:pPr>
      <w:proofErr w:type="gramStart"/>
      <w:r>
        <w:t>5.01</w:t>
      </w:r>
      <w:proofErr w:type="gramEnd"/>
      <w:r>
        <w:tab/>
        <w:t>“</w:t>
      </w:r>
      <w:r>
        <w:rPr>
          <w:b/>
          <w:bCs/>
        </w:rPr>
        <w:t>General Credit Card</w:t>
      </w:r>
      <w:r>
        <w:t>” means a credit card that can be used at multiple establishments, such as VISA, American Express, or MasterCard.</w:t>
      </w:r>
    </w:p>
    <w:p w:rsidR="002911B1" w:rsidRDefault="002911B1">
      <w:pPr>
        <w:pStyle w:val="FAPPPolicyParawithNumber"/>
      </w:pPr>
    </w:p>
    <w:p w:rsidR="002911B1" w:rsidRDefault="002911B1">
      <w:pPr>
        <w:pStyle w:val="FAPPPolicyParawithNumber"/>
      </w:pPr>
      <w:proofErr w:type="gramStart"/>
      <w:r>
        <w:t>5.02</w:t>
      </w:r>
      <w:proofErr w:type="gramEnd"/>
      <w:r>
        <w:tab/>
        <w:t>“</w:t>
      </w:r>
      <w:r>
        <w:rPr>
          <w:b/>
          <w:bCs/>
        </w:rPr>
        <w:t>Supplier Specific Credit Card</w:t>
      </w:r>
      <w:r>
        <w:t xml:space="preserve">” means a credit card that can be used only with a specific supplier, such as a gas </w:t>
      </w:r>
      <w:r w:rsidR="00A82A10">
        <w:t>Agency</w:t>
      </w:r>
      <w:r>
        <w:t xml:space="preserve"> or an office supply </w:t>
      </w:r>
      <w:r w:rsidR="00A82A10">
        <w:t>Agency</w:t>
      </w:r>
      <w:r>
        <w:t>.</w:t>
      </w:r>
    </w:p>
    <w:p w:rsidR="002911B1" w:rsidRDefault="002911B1">
      <w:pPr>
        <w:pStyle w:val="FAPPPolicyParawithNumber"/>
      </w:pPr>
    </w:p>
    <w:p w:rsidR="002911B1" w:rsidRDefault="002911B1">
      <w:pPr>
        <w:pStyle w:val="FAPPPolicyParawithNumber"/>
      </w:pPr>
      <w:proofErr w:type="gramStart"/>
      <w:r>
        <w:t>5.03</w:t>
      </w:r>
      <w:proofErr w:type="gramEnd"/>
      <w:r>
        <w:tab/>
        <w:t>“</w:t>
      </w:r>
      <w:r>
        <w:rPr>
          <w:b/>
          <w:bCs/>
        </w:rPr>
        <w:t>Credit limit</w:t>
      </w:r>
      <w:r>
        <w:t xml:space="preserve">” means the total amount that may be charged to the credit card before transactions are refused by the credit card </w:t>
      </w:r>
      <w:r w:rsidR="00A82A10">
        <w:t>Agency</w:t>
      </w:r>
      <w:r>
        <w:t>.</w:t>
      </w:r>
    </w:p>
    <w:p w:rsidR="002911B1" w:rsidRDefault="002911B1">
      <w:pPr>
        <w:pStyle w:val="FAPPPolicyParawithNumber"/>
      </w:pPr>
    </w:p>
    <w:p w:rsidR="002911B1" w:rsidRDefault="002911B1">
      <w:pPr>
        <w:pStyle w:val="FAPPPolicyParawithNumber"/>
      </w:pPr>
      <w:proofErr w:type="gramStart"/>
      <w:r>
        <w:t>5.04</w:t>
      </w:r>
      <w:proofErr w:type="gramEnd"/>
      <w:r>
        <w:tab/>
        <w:t>“</w:t>
      </w:r>
      <w:r>
        <w:rPr>
          <w:b/>
          <w:bCs/>
        </w:rPr>
        <w:t>Transaction-level limit</w:t>
      </w:r>
      <w:r>
        <w:t>” means the total value of any individual transaction that may be charged to the card or the type of transaction that may be charged to the card.  For example, some gas companies will allow for “gas only” cards, which deny credit for other miscellaneous purchases at the gas station.</w:t>
      </w:r>
    </w:p>
    <w:p w:rsidR="002911B1" w:rsidRDefault="002911B1">
      <w:pPr>
        <w:pStyle w:val="FAPPPolicyParawithNumber"/>
      </w:pPr>
    </w:p>
    <w:p w:rsidR="002911B1" w:rsidRDefault="002911B1">
      <w:pPr>
        <w:pStyle w:val="FAPPPolicyParawithNumber"/>
      </w:pPr>
    </w:p>
    <w:p w:rsidR="002911B1" w:rsidRDefault="002911B1">
      <w:pPr>
        <w:pStyle w:val="PolicyHead1"/>
        <w:rPr>
          <w:sz w:val="22"/>
        </w:rPr>
      </w:pPr>
      <w:r>
        <w:rPr>
          <w:sz w:val="22"/>
        </w:rPr>
        <w:t>6</w:t>
      </w:r>
      <w:r>
        <w:rPr>
          <w:sz w:val="22"/>
        </w:rPr>
        <w:tab/>
        <w:t>REFERENCES and RELATED STATEMENTS of POLICY and PROCEDURE</w:t>
      </w:r>
    </w:p>
    <w:p w:rsidR="002911B1" w:rsidRDefault="002911B1">
      <w:pPr>
        <w:pStyle w:val="PolicyPara"/>
        <w:tabs>
          <w:tab w:val="left" w:pos="1620"/>
        </w:tabs>
        <w:rPr>
          <w:sz w:val="22"/>
        </w:rPr>
      </w:pPr>
      <w:r>
        <w:rPr>
          <w:sz w:val="22"/>
        </w:rPr>
        <w:t>FN 2.01 — Expense Authorization</w:t>
      </w:r>
    </w:p>
    <w:p w:rsidR="002911B1" w:rsidRDefault="002911B1">
      <w:pPr>
        <w:pStyle w:val="PolicyPara"/>
        <w:tabs>
          <w:tab w:val="left" w:pos="1620"/>
        </w:tabs>
        <w:rPr>
          <w:sz w:val="22"/>
        </w:rPr>
      </w:pPr>
      <w:r>
        <w:rPr>
          <w:sz w:val="22"/>
        </w:rPr>
        <w:t>FN 2.04 — Expense Advances and Expense Allowances</w:t>
      </w:r>
    </w:p>
    <w:p w:rsidR="002911B1" w:rsidRDefault="002911B1">
      <w:pPr>
        <w:pStyle w:val="PolicyPara"/>
        <w:tabs>
          <w:tab w:val="left" w:pos="1620"/>
        </w:tabs>
        <w:rPr>
          <w:sz w:val="22"/>
        </w:rPr>
      </w:pPr>
      <w:r>
        <w:rPr>
          <w:sz w:val="22"/>
        </w:rPr>
        <w:t>FN 2.05 — Travel Guidelines</w:t>
      </w:r>
    </w:p>
    <w:p w:rsidR="002911B1" w:rsidRDefault="002911B1">
      <w:pPr>
        <w:pStyle w:val="PolicyParawithNumber"/>
        <w:rPr>
          <w:sz w:val="22"/>
        </w:rPr>
      </w:pPr>
    </w:p>
    <w:p w:rsidR="002911B1" w:rsidRDefault="002911B1">
      <w:pPr>
        <w:pStyle w:val="PolicyParawithNumber"/>
        <w:rPr>
          <w:sz w:val="22"/>
        </w:rPr>
      </w:pPr>
    </w:p>
    <w:p w:rsidR="002911B1" w:rsidRDefault="002911B1">
      <w:pPr>
        <w:pStyle w:val="FAPPPolicyHead1"/>
      </w:pPr>
      <w:r>
        <w:br w:type="page"/>
      </w:r>
      <w:r>
        <w:lastRenderedPageBreak/>
        <w:t>7</w:t>
      </w:r>
      <w:r>
        <w:tab/>
        <w:t>PROCEDURES</w:t>
      </w:r>
    </w:p>
    <w:p w:rsidR="002911B1" w:rsidRDefault="002911B1">
      <w:pPr>
        <w:pStyle w:val="FAPPPolicyParawithNumber"/>
      </w:pPr>
      <w:r>
        <w:t>7.01</w:t>
      </w:r>
      <w:r>
        <w:tab/>
      </w:r>
      <w:r>
        <w:rPr>
          <w:b/>
          <w:bCs/>
        </w:rPr>
        <w:t>Use of Credit Cards and Expense Reports</w:t>
      </w:r>
    </w:p>
    <w:p w:rsidR="002911B1" w:rsidRDefault="002911B1">
      <w:pPr>
        <w:pStyle w:val="FAPPPolicyParaAwithNoNumber"/>
      </w:pPr>
    </w:p>
    <w:p w:rsidR="002911B1" w:rsidRDefault="002911B1">
      <w:pPr>
        <w:pStyle w:val="FAPPPolicyParaAwithNoNumber"/>
      </w:pPr>
      <w:r>
        <w:t>(a)</w:t>
      </w:r>
      <w:r>
        <w:tab/>
        <w:t xml:space="preserve">Credit cards are to </w:t>
      </w:r>
      <w:proofErr w:type="gramStart"/>
      <w:r>
        <w:t>be used</w:t>
      </w:r>
      <w:proofErr w:type="gramEnd"/>
      <w:r>
        <w:t xml:space="preserve"> for </w:t>
      </w:r>
      <w:r w:rsidR="00A82A10">
        <w:t>Agency</w:t>
      </w:r>
      <w:r>
        <w:t xml:space="preserve"> requirements only.  Where the </w:t>
      </w:r>
      <w:bookmarkStart w:id="0" w:name="_GoBack"/>
      <w:bookmarkEnd w:id="0"/>
      <w:r>
        <w:t xml:space="preserve">supplier has the capability, cards or transactions </w:t>
      </w:r>
      <w:proofErr w:type="gramStart"/>
      <w:r>
        <w:t xml:space="preserve">will be </w:t>
      </w:r>
      <w:r w:rsidR="0090327E">
        <w:t>itemized</w:t>
      </w:r>
      <w:proofErr w:type="gramEnd"/>
      <w:r w:rsidR="0090327E">
        <w:t xml:space="preserve"> for each</w:t>
      </w:r>
      <w:r>
        <w:t xml:space="preserve"> individual employee for greater facility at the time of invoicing.</w:t>
      </w:r>
    </w:p>
    <w:p w:rsidR="00EA2840" w:rsidRDefault="002911B1">
      <w:pPr>
        <w:pStyle w:val="FAPPPolicyParaAwithNoNumber"/>
      </w:pPr>
      <w:r>
        <w:t>(b)</w:t>
      </w:r>
      <w:r>
        <w:tab/>
        <w:t xml:space="preserve">Employees must initial receipts and </w:t>
      </w:r>
      <w:r w:rsidR="00EA2840">
        <w:t xml:space="preserve">code </w:t>
      </w:r>
      <w:r>
        <w:t>each receipt</w:t>
      </w:r>
      <w:r w:rsidR="00EA2840">
        <w:t>.</w:t>
      </w:r>
    </w:p>
    <w:p w:rsidR="002911B1" w:rsidRDefault="002911B1">
      <w:pPr>
        <w:pStyle w:val="FAPPPolicyParaAwithNoNumber"/>
      </w:pPr>
      <w:r>
        <w:t>(</w:t>
      </w:r>
      <w:r w:rsidR="00EA2840">
        <w:t>c</w:t>
      </w:r>
      <w:r>
        <w:t>)</w:t>
      </w:r>
      <w:r>
        <w:tab/>
        <w:t xml:space="preserve">Use of </w:t>
      </w:r>
      <w:r w:rsidR="00A82A10">
        <w:t>Agency</w:t>
      </w:r>
      <w:r>
        <w:t xml:space="preserve"> credit cards for expenses of a personal nature of any kind may result in disciplinary action up to and including dismissal.</w:t>
      </w:r>
    </w:p>
    <w:p w:rsidR="00AF5868" w:rsidRPr="001D7682" w:rsidRDefault="00AF5868">
      <w:pPr>
        <w:pStyle w:val="FAPPPolicyParaAwithNoNumber"/>
        <w:rPr>
          <w:b/>
          <w:i/>
          <w:u w:val="single"/>
        </w:rPr>
      </w:pPr>
      <w:r w:rsidRPr="001D7682">
        <w:rPr>
          <w:u w:val="single"/>
        </w:rPr>
        <w:t>(</w:t>
      </w:r>
      <w:r w:rsidRPr="000C5C8E">
        <w:t>d</w:t>
      </w:r>
      <w:r w:rsidRPr="000C5C8E">
        <w:rPr>
          <w:i/>
        </w:rPr>
        <w:t>)</w:t>
      </w:r>
      <w:r w:rsidRPr="000C5C8E">
        <w:rPr>
          <w:i/>
        </w:rPr>
        <w:tab/>
      </w:r>
      <w:r w:rsidRPr="000C5C8E">
        <w:t>Regulations for hospitality, meal rates, travel, and accommodation apply to the use of agency credit cards</w:t>
      </w:r>
      <w:r w:rsidRPr="000C5C8E">
        <w:rPr>
          <w:i/>
        </w:rPr>
        <w:t xml:space="preserve">.  </w:t>
      </w:r>
      <w:r w:rsidRPr="000C5C8E">
        <w:t xml:space="preserve">(See </w:t>
      </w:r>
      <w:r w:rsidRPr="000C5C8E">
        <w:rPr>
          <w:b/>
        </w:rPr>
        <w:t>Travel Guidelines</w:t>
      </w:r>
      <w:r w:rsidRPr="000C5C8E">
        <w:rPr>
          <w:i/>
        </w:rPr>
        <w:t>)</w:t>
      </w:r>
    </w:p>
    <w:p w:rsidR="00AF5868" w:rsidRPr="00AF5868" w:rsidRDefault="00AF5868">
      <w:pPr>
        <w:pStyle w:val="FAPPPolicyParaAwithNoNumber"/>
        <w:rPr>
          <w:b/>
          <w:i/>
        </w:rPr>
      </w:pPr>
    </w:p>
    <w:p w:rsidR="002911B1" w:rsidRDefault="002911B1">
      <w:pPr>
        <w:pStyle w:val="FAPPPolicyPara"/>
      </w:pPr>
    </w:p>
    <w:p w:rsidR="002911B1" w:rsidRDefault="002911B1">
      <w:pPr>
        <w:pStyle w:val="FAPPPolicyParawithNumber"/>
      </w:pPr>
      <w:r>
        <w:t>7.02</w:t>
      </w:r>
      <w:r>
        <w:tab/>
      </w:r>
      <w:r>
        <w:rPr>
          <w:b/>
          <w:bCs/>
        </w:rPr>
        <w:t>Credit Card Invoicing, Authorization and Payment</w:t>
      </w:r>
    </w:p>
    <w:p w:rsidR="002911B1" w:rsidRDefault="002911B1">
      <w:pPr>
        <w:pStyle w:val="FAPPPolicyParaAwithNoNumber"/>
      </w:pPr>
    </w:p>
    <w:p w:rsidR="00EA2840" w:rsidRPr="0044061C" w:rsidRDefault="002911B1" w:rsidP="00A24818">
      <w:pPr>
        <w:pStyle w:val="FAPPPolicyParaAwithNoNumber"/>
        <w:numPr>
          <w:ilvl w:val="0"/>
          <w:numId w:val="13"/>
        </w:numPr>
      </w:pPr>
      <w:r>
        <w:t xml:space="preserve">The employee shall submit the </w:t>
      </w:r>
      <w:r w:rsidR="00EA2840">
        <w:t xml:space="preserve">coded </w:t>
      </w:r>
      <w:r>
        <w:t xml:space="preserve">receipts to the </w:t>
      </w:r>
      <w:r w:rsidR="00EA2840" w:rsidRPr="00EA2840">
        <w:rPr>
          <w:b/>
        </w:rPr>
        <w:t>Account</w:t>
      </w:r>
      <w:r w:rsidR="001B1F14">
        <w:rPr>
          <w:b/>
        </w:rPr>
        <w:t>ing</w:t>
      </w:r>
      <w:r w:rsidR="00EA2840" w:rsidRPr="00EA2840">
        <w:rPr>
          <w:b/>
        </w:rPr>
        <w:t xml:space="preserve"> Assistant </w:t>
      </w:r>
      <w:r>
        <w:t xml:space="preserve">(see </w:t>
      </w:r>
      <w:r w:rsidRPr="00EA2840">
        <w:rPr>
          <w:b/>
          <w:bCs/>
        </w:rPr>
        <w:t>Expense Authorization</w:t>
      </w:r>
      <w:r w:rsidR="00EA2840" w:rsidRPr="00EA2840">
        <w:rPr>
          <w:bCs/>
        </w:rPr>
        <w:t>)</w:t>
      </w:r>
      <w:r w:rsidR="00EA2840">
        <w:rPr>
          <w:bCs/>
        </w:rPr>
        <w:t>.</w:t>
      </w:r>
    </w:p>
    <w:p w:rsidR="0044061C" w:rsidRPr="0044061C" w:rsidRDefault="0044061C" w:rsidP="0044061C">
      <w:pPr>
        <w:pStyle w:val="FAPPPolicyParaAwithNoNumber"/>
        <w:numPr>
          <w:ilvl w:val="0"/>
          <w:numId w:val="13"/>
        </w:numPr>
        <w:rPr>
          <w:b/>
          <w:i/>
        </w:rPr>
      </w:pPr>
      <w:r w:rsidRPr="000C5C8E">
        <w:t>Approval requirements for credit card purchases are those set out in</w:t>
      </w:r>
      <w:r>
        <w:rPr>
          <w:i/>
        </w:rPr>
        <w:t xml:space="preserve"> </w:t>
      </w:r>
      <w:r>
        <w:rPr>
          <w:b/>
          <w:i/>
        </w:rPr>
        <w:t xml:space="preserve">Expense Authorization </w:t>
      </w:r>
      <w:r w:rsidRPr="00AF5868">
        <w:rPr>
          <w:i/>
        </w:rPr>
        <w:t>and</w:t>
      </w:r>
      <w:r>
        <w:rPr>
          <w:b/>
          <w:i/>
        </w:rPr>
        <w:t xml:space="preserve"> Travel Guidelines.</w:t>
      </w:r>
    </w:p>
    <w:p w:rsidR="00A24818" w:rsidRDefault="002911B1" w:rsidP="00A24818">
      <w:pPr>
        <w:pStyle w:val="FAPPPolicyParaAwithNoNumber"/>
        <w:numPr>
          <w:ilvl w:val="0"/>
          <w:numId w:val="13"/>
        </w:numPr>
      </w:pPr>
      <w:r w:rsidRPr="00EA2840">
        <w:rPr>
          <w:bCs/>
        </w:rPr>
        <w:tab/>
      </w:r>
      <w:r>
        <w:t>Charges for items where the receipt has been misplaced must be explained to the</w:t>
      </w:r>
      <w:r w:rsidRPr="00EA2840">
        <w:rPr>
          <w:b/>
        </w:rPr>
        <w:t xml:space="preserve"> </w:t>
      </w:r>
      <w:r w:rsidR="008343F9" w:rsidRPr="00EA2840">
        <w:rPr>
          <w:b/>
        </w:rPr>
        <w:t>Director</w:t>
      </w:r>
      <w:r w:rsidRPr="00EA2840">
        <w:rPr>
          <w:b/>
        </w:rPr>
        <w:t xml:space="preserve"> </w:t>
      </w:r>
      <w:r>
        <w:t xml:space="preserve">who must initial the specific charge and </w:t>
      </w:r>
      <w:proofErr w:type="gramStart"/>
      <w:r>
        <w:t>indicate</w:t>
      </w:r>
      <w:proofErr w:type="gramEnd"/>
      <w:r>
        <w:t xml:space="preserve"> “receipt missing”</w:t>
      </w:r>
      <w:r w:rsidR="00EA2840">
        <w:t xml:space="preserve"> </w:t>
      </w:r>
      <w:r>
        <w:t>beside it.</w:t>
      </w:r>
      <w:r w:rsidR="00A24818" w:rsidRPr="00A24818">
        <w:t xml:space="preserve"> </w:t>
      </w:r>
    </w:p>
    <w:p w:rsidR="00A24818" w:rsidRDefault="00EA2840" w:rsidP="00A24818">
      <w:pPr>
        <w:pStyle w:val="FAPPPolicyParaAwithNoNumber"/>
      </w:pPr>
      <w:r>
        <w:t>(</w:t>
      </w:r>
      <w:r w:rsidR="0044061C">
        <w:t>d</w:t>
      </w:r>
      <w:r>
        <w:t>)</w:t>
      </w:r>
      <w:r>
        <w:tab/>
        <w:t>Receipts</w:t>
      </w:r>
      <w:r w:rsidR="00A24818">
        <w:t xml:space="preserve"> </w:t>
      </w:r>
      <w:proofErr w:type="gramStart"/>
      <w:r w:rsidR="00A24818">
        <w:t>are forwarded</w:t>
      </w:r>
      <w:proofErr w:type="gramEnd"/>
      <w:r w:rsidR="00A24818">
        <w:t xml:space="preserve"> to the </w:t>
      </w:r>
      <w:r w:rsidR="001B1F14">
        <w:rPr>
          <w:b/>
        </w:rPr>
        <w:t>Accounting</w:t>
      </w:r>
      <w:r w:rsidR="00A24818">
        <w:rPr>
          <w:b/>
        </w:rPr>
        <w:t xml:space="preserve"> Assistant </w:t>
      </w:r>
      <w:r w:rsidR="00A24818">
        <w:t>immediately.</w:t>
      </w:r>
    </w:p>
    <w:p w:rsidR="007F2A72" w:rsidRDefault="0044061C" w:rsidP="007F2A72">
      <w:pPr>
        <w:pStyle w:val="FAPPPolicyParaAwithNoNumber"/>
      </w:pPr>
      <w:r>
        <w:t>(e</w:t>
      </w:r>
      <w:r w:rsidR="002911B1">
        <w:t>)</w:t>
      </w:r>
      <w:r w:rsidR="002911B1">
        <w:tab/>
      </w:r>
      <w:r w:rsidR="00A24818">
        <w:t xml:space="preserve">The </w:t>
      </w:r>
      <w:r w:rsidR="001B1F14">
        <w:rPr>
          <w:b/>
        </w:rPr>
        <w:t xml:space="preserve">Accounting </w:t>
      </w:r>
      <w:r w:rsidR="00A24818">
        <w:rPr>
          <w:b/>
        </w:rPr>
        <w:t xml:space="preserve">Assistant </w:t>
      </w:r>
      <w:r w:rsidR="003635F3">
        <w:t>will</w:t>
      </w:r>
      <w:r w:rsidR="007D018E">
        <w:t xml:space="preserve"> vouch the invoices to the statement and </w:t>
      </w:r>
      <w:r w:rsidR="00A24818">
        <w:t>forward to the</w:t>
      </w:r>
      <w:r w:rsidR="002911B1">
        <w:t xml:space="preserve"> </w:t>
      </w:r>
      <w:r w:rsidR="008343F9">
        <w:rPr>
          <w:b/>
        </w:rPr>
        <w:t>Director</w:t>
      </w:r>
      <w:r w:rsidR="002911B1">
        <w:t xml:space="preserve"> </w:t>
      </w:r>
      <w:r w:rsidR="00A24818">
        <w:t>for approval of all charges.</w:t>
      </w:r>
      <w:r w:rsidR="00A24818" w:rsidRPr="00A24818">
        <w:t xml:space="preserve"> </w:t>
      </w:r>
    </w:p>
    <w:p w:rsidR="007F2A72" w:rsidRDefault="0044061C" w:rsidP="007F2A72">
      <w:pPr>
        <w:pStyle w:val="FAPPPolicyParaAwithNoNumber"/>
      </w:pPr>
      <w:r>
        <w:t>(f</w:t>
      </w:r>
      <w:r w:rsidR="007F2A72">
        <w:t>)</w:t>
      </w:r>
      <w:r w:rsidR="007F2A72">
        <w:tab/>
        <w:t xml:space="preserve">The </w:t>
      </w:r>
      <w:r w:rsidR="001B1F14">
        <w:rPr>
          <w:b/>
        </w:rPr>
        <w:t>Senior Accounting Analyst</w:t>
      </w:r>
      <w:r w:rsidR="00EA2840">
        <w:rPr>
          <w:b/>
        </w:rPr>
        <w:t xml:space="preserve"> </w:t>
      </w:r>
      <w:r w:rsidR="00EA2840">
        <w:t>will</w:t>
      </w:r>
      <w:r w:rsidR="007F2A72">
        <w:t xml:space="preserve"> process payment according to the terms of the credit card contract to avoid unnecessary late payment charges.</w:t>
      </w:r>
    </w:p>
    <w:p w:rsidR="007D018E" w:rsidRDefault="007D018E" w:rsidP="00A24818">
      <w:pPr>
        <w:pStyle w:val="FAPPPolicyParaAwithNoNumber"/>
      </w:pPr>
    </w:p>
    <w:p w:rsidR="002911B1" w:rsidRDefault="002911B1">
      <w:pPr>
        <w:pStyle w:val="FAPPPolicyHead1"/>
      </w:pPr>
      <w:r>
        <w:t>8</w:t>
      </w:r>
      <w:r>
        <w:tab/>
        <w:t>ATTACHMENTS</w:t>
      </w:r>
    </w:p>
    <w:p w:rsidR="002911B1" w:rsidRDefault="002911B1">
      <w:pPr>
        <w:pStyle w:val="FAPPPolicyPara"/>
      </w:pPr>
      <w:r>
        <w:t>None.</w:t>
      </w:r>
    </w:p>
    <w:p w:rsidR="002911B1" w:rsidRDefault="002911B1">
      <w:pPr>
        <w:pStyle w:val="FAPPPolicyPara"/>
        <w:sectPr w:rsidR="002911B1" w:rsidSect="009276D5">
          <w:headerReference w:type="even" r:id="rId8"/>
          <w:headerReference w:type="default" r:id="rId9"/>
          <w:footerReference w:type="even" r:id="rId10"/>
          <w:footerReference w:type="default" r:id="rId11"/>
          <w:pgSz w:w="12240" w:h="15840"/>
          <w:pgMar w:top="1440" w:right="1800" w:bottom="1440" w:left="1800" w:header="706" w:footer="706" w:gutter="0"/>
          <w:pgNumType w:start="1"/>
          <w:cols w:space="708"/>
          <w:docGrid w:linePitch="360"/>
        </w:sectPr>
      </w:pPr>
    </w:p>
    <w:p w:rsidR="002911B1" w:rsidRDefault="002911B1">
      <w:pPr>
        <w:pStyle w:val="FAPPPolicyPara"/>
      </w:pPr>
    </w:p>
    <w:sectPr w:rsidR="002911B1" w:rsidSect="004F37F4">
      <w:type w:val="continuous"/>
      <w:pgSz w:w="12240" w:h="15840"/>
      <w:pgMar w:top="1440" w:right="1800" w:bottom="1440" w:left="180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F84" w:rsidRDefault="006C3F84">
      <w:r>
        <w:separator/>
      </w:r>
    </w:p>
  </w:endnote>
  <w:endnote w:type="continuationSeparator" w:id="0">
    <w:p w:rsidR="006C3F84" w:rsidRDefault="006C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84" w:rsidRDefault="006C3F84">
    <w:pPr>
      <w:pStyle w:val="Footer"/>
    </w:pPr>
  </w:p>
  <w:p w:rsidR="006C3F84" w:rsidRDefault="006C3F84">
    <w:pPr>
      <w:pStyle w:val="Footer"/>
    </w:pPr>
    <w:r>
      <w:t>2.03-</w:t>
    </w:r>
    <w:r w:rsidR="003F7A67">
      <w:rPr>
        <w:rStyle w:val="PageNumber"/>
      </w:rPr>
      <w:fldChar w:fldCharType="begin"/>
    </w:r>
    <w:r>
      <w:rPr>
        <w:rStyle w:val="PageNumber"/>
      </w:rPr>
      <w:instrText xml:space="preserve"> PAGE </w:instrText>
    </w:r>
    <w:r w:rsidR="003F7A67">
      <w:rPr>
        <w:rStyle w:val="PageNumber"/>
      </w:rPr>
      <w:fldChar w:fldCharType="separate"/>
    </w:r>
    <w:r w:rsidR="009276D5">
      <w:rPr>
        <w:rStyle w:val="PageNumber"/>
        <w:noProof/>
      </w:rPr>
      <w:t>2</w:t>
    </w:r>
    <w:r w:rsidR="003F7A67">
      <w:rPr>
        <w:rStyle w:val="PageNumber"/>
      </w:rPr>
      <w:fldChar w:fldCharType="end"/>
    </w:r>
    <w:r w:rsidR="003635F3">
      <w:rPr>
        <w:noProof/>
        <w:sz w:val="20"/>
        <w:lang w:val="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-62230</wp:posOffset>
              </wp:positionV>
              <wp:extent cx="5486400" cy="0"/>
              <wp:effectExtent l="9525" t="13970" r="9525" b="1460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A0AB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6in,-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gg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" strokeweight="1.25pt">
              <w10:wrap type="topAndBottom"/>
            </v:line>
          </w:pict>
        </mc:Fallback>
      </mc:AlternateContent>
    </w:r>
    <w:r>
      <w:tab/>
    </w:r>
    <w:r>
      <w:tab/>
    </w:r>
    <w:r>
      <w:rPr>
        <w:i/>
        <w:iCs/>
      </w:rPr>
      <w:t xml:space="preserve">Finance and Accounting </w:t>
    </w:r>
    <w:proofErr w:type="spellStart"/>
    <w:r>
      <w:rPr>
        <w:i/>
        <w:iCs/>
      </w:rPr>
      <w:t>PolicyPro</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F84" w:rsidRDefault="003635F3">
    <w:pPr>
      <w:pStyle w:val="Footer"/>
    </w:pPr>
    <w:r>
      <w:rPr>
        <w:noProof/>
        <w:sz w:val="20"/>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113030</wp:posOffset>
              </wp:positionV>
              <wp:extent cx="5486400" cy="0"/>
              <wp:effectExtent l="9525" t="8255" r="9525" b="10795"/>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5560D"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6in,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" strokeweight="1.25pt">
              <w10:wrap type="topAndBottom"/>
            </v:line>
          </w:pict>
        </mc:Fallback>
      </mc:AlternateContent>
    </w:r>
  </w:p>
  <w:p w:rsidR="006C3F84" w:rsidRDefault="006C3F84">
    <w:pPr>
      <w:pStyle w:val="Footer"/>
    </w:pPr>
    <w:r>
      <w:rPr>
        <w:i/>
        <w:iCs/>
      </w:rPr>
      <w:t xml:space="preserve">Finance and Accounting </w:t>
    </w:r>
    <w:proofErr w:type="spellStart"/>
    <w:r>
      <w:rPr>
        <w:i/>
        <w:iCs/>
      </w:rPr>
      <w:t>PolicyPro</w:t>
    </w:r>
    <w:proofErr w:type="spellEnd"/>
    <w:r>
      <w:tab/>
    </w:r>
    <w:r>
      <w:tab/>
      <w:t>2.03-</w:t>
    </w:r>
    <w:r w:rsidR="003F7A67">
      <w:rPr>
        <w:rStyle w:val="PageNumber"/>
      </w:rPr>
      <w:fldChar w:fldCharType="begin"/>
    </w:r>
    <w:r>
      <w:rPr>
        <w:rStyle w:val="PageNumber"/>
      </w:rPr>
      <w:instrText xml:space="preserve"> PAGE </w:instrText>
    </w:r>
    <w:r w:rsidR="003F7A67">
      <w:rPr>
        <w:rStyle w:val="PageNumber"/>
      </w:rPr>
      <w:fldChar w:fldCharType="separate"/>
    </w:r>
    <w:r w:rsidR="009C38F6">
      <w:rPr>
        <w:rStyle w:val="PageNumber"/>
        <w:noProof/>
      </w:rPr>
      <w:t>3</w:t>
    </w:r>
    <w:r w:rsidR="003F7A6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F84" w:rsidRDefault="006C3F84">
      <w:r>
        <w:separator/>
      </w:r>
    </w:p>
  </w:footnote>
  <w:footnote w:type="continuationSeparator" w:id="0">
    <w:p w:rsidR="006C3F84" w:rsidRDefault="006C3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Ind w:w="2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190"/>
      <w:gridCol w:w="5209"/>
      <w:gridCol w:w="1157"/>
      <w:gridCol w:w="1444"/>
    </w:tblGrid>
    <w:tr w:rsidR="006C3F84">
      <w:trPr>
        <w:cantSplit/>
        <w:trHeight w:hRule="exact" w:val="408"/>
      </w:trPr>
      <w:tc>
        <w:tcPr>
          <w:tcW w:w="9000" w:type="dxa"/>
          <w:gridSpan w:val="4"/>
          <w:vAlign w:val="center"/>
        </w:tcPr>
        <w:p w:rsidR="006C3F84" w:rsidRDefault="007F6323">
          <w:pPr>
            <w:pStyle w:val="FHB"/>
          </w:pPr>
          <w:r>
            <w:t>OPERATIONAL POLICY and PROCEDURE STATEMENT</w:t>
          </w:r>
        </w:p>
      </w:tc>
    </w:tr>
    <w:tr w:rsidR="006C3F84">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L"/>
          </w:pPr>
          <w:r>
            <w:t>Manual:</w:t>
          </w:r>
        </w:p>
      </w:tc>
      <w:tc>
        <w:tcPr>
          <w:tcW w:w="5209" w:type="dxa"/>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C"/>
          </w:pPr>
          <w:r>
            <w:t>Finance and Accounting</w:t>
          </w:r>
        </w:p>
      </w:tc>
      <w:tc>
        <w:tcPr>
          <w:tcW w:w="1157" w:type="dxa"/>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L"/>
          </w:pPr>
          <w:r>
            <w:t>SPP No.</w:t>
          </w:r>
        </w:p>
      </w:tc>
      <w:tc>
        <w:tcPr>
          <w:tcW w:w="1444" w:type="dxa"/>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B"/>
          </w:pPr>
          <w:r>
            <w:t>FN 2.03</w:t>
          </w:r>
        </w:p>
      </w:tc>
    </w:tr>
    <w:tr w:rsidR="007F6323" w:rsidTr="004E1AB2">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7F6323" w:rsidRDefault="007F6323">
          <w:pPr>
            <w:pStyle w:val="FHL"/>
          </w:pPr>
          <w:r>
            <w:t>Section:</w:t>
          </w:r>
        </w:p>
      </w:tc>
      <w:tc>
        <w:tcPr>
          <w:tcW w:w="5209" w:type="dxa"/>
          <w:tcBorders>
            <w:top w:val="single" w:sz="7" w:space="0" w:color="000000"/>
            <w:left w:val="single" w:sz="7" w:space="0" w:color="000000"/>
            <w:bottom w:val="single" w:sz="7" w:space="0" w:color="000000"/>
            <w:right w:val="single" w:sz="7" w:space="0" w:color="000000"/>
          </w:tcBorders>
          <w:vAlign w:val="center"/>
        </w:tcPr>
        <w:p w:rsidR="007F6323" w:rsidRDefault="007F6323">
          <w:pPr>
            <w:pStyle w:val="FHC"/>
          </w:pPr>
          <w:r>
            <w:t>Purchasing Cycle</w:t>
          </w:r>
        </w:p>
      </w:tc>
      <w:tc>
        <w:tcPr>
          <w:tcW w:w="1157" w:type="dxa"/>
          <w:tcBorders>
            <w:top w:val="single" w:sz="7" w:space="0" w:color="000000"/>
            <w:left w:val="single" w:sz="7" w:space="0" w:color="000000"/>
            <w:bottom w:val="single" w:sz="7" w:space="0" w:color="000000"/>
            <w:right w:val="single" w:sz="7" w:space="0" w:color="000000"/>
          </w:tcBorders>
          <w:vAlign w:val="center"/>
        </w:tcPr>
        <w:p w:rsidR="007F6323" w:rsidRDefault="007F6323">
          <w:pPr>
            <w:pStyle w:val="FHL"/>
          </w:pPr>
          <w:r>
            <w:t>Issued:</w:t>
          </w:r>
        </w:p>
      </w:tc>
      <w:tc>
        <w:tcPr>
          <w:tcW w:w="1444" w:type="dxa"/>
          <w:tcBorders>
            <w:top w:val="single" w:sz="7" w:space="0" w:color="000000"/>
            <w:left w:val="single" w:sz="7" w:space="0" w:color="000000"/>
            <w:bottom w:val="single" w:sz="7" w:space="0" w:color="000000"/>
            <w:right w:val="single" w:sz="7" w:space="0" w:color="000000"/>
          </w:tcBorders>
        </w:tcPr>
        <w:p w:rsidR="007F6323" w:rsidRDefault="007F6323" w:rsidP="00540CDA">
          <w:pPr>
            <w:pStyle w:val="FHC"/>
          </w:pPr>
          <w:r>
            <w:t>Oct. 6, 2010</w:t>
          </w:r>
        </w:p>
        <w:p w:rsidR="007F6323" w:rsidRPr="00B439C7" w:rsidRDefault="007F6323" w:rsidP="00540CDA">
          <w:pPr>
            <w:pStyle w:val="FHC"/>
          </w:pPr>
        </w:p>
      </w:tc>
    </w:tr>
    <w:tr w:rsidR="007F6323" w:rsidTr="004E1AB2">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7F6323" w:rsidRDefault="007F6323">
          <w:pPr>
            <w:pStyle w:val="FHL"/>
          </w:pPr>
          <w:r>
            <w:t>Subject:</w:t>
          </w:r>
        </w:p>
      </w:tc>
      <w:tc>
        <w:tcPr>
          <w:tcW w:w="5209" w:type="dxa"/>
          <w:tcBorders>
            <w:top w:val="single" w:sz="7" w:space="0" w:color="000000"/>
            <w:left w:val="single" w:sz="7" w:space="0" w:color="000000"/>
            <w:bottom w:val="single" w:sz="7" w:space="0" w:color="000000"/>
            <w:right w:val="single" w:sz="7" w:space="0" w:color="000000"/>
          </w:tcBorders>
          <w:vAlign w:val="center"/>
        </w:tcPr>
        <w:p w:rsidR="007F6323" w:rsidRDefault="00A82A10">
          <w:pPr>
            <w:pStyle w:val="FHB"/>
          </w:pPr>
          <w:r>
            <w:t>AGENCY</w:t>
          </w:r>
          <w:r w:rsidR="007F6323">
            <w:t xml:space="preserve"> CREDIT CARDS</w:t>
          </w:r>
        </w:p>
      </w:tc>
      <w:tc>
        <w:tcPr>
          <w:tcW w:w="1157" w:type="dxa"/>
          <w:tcBorders>
            <w:top w:val="single" w:sz="7" w:space="0" w:color="000000"/>
            <w:left w:val="single" w:sz="7" w:space="0" w:color="000000"/>
            <w:bottom w:val="single" w:sz="7" w:space="0" w:color="000000"/>
            <w:right w:val="single" w:sz="7" w:space="0" w:color="000000"/>
          </w:tcBorders>
          <w:vAlign w:val="center"/>
        </w:tcPr>
        <w:p w:rsidR="007F6323" w:rsidRDefault="007F6323">
          <w:pPr>
            <w:pStyle w:val="FHL"/>
          </w:pPr>
          <w:r>
            <w:t>Effective:</w:t>
          </w:r>
        </w:p>
      </w:tc>
      <w:tc>
        <w:tcPr>
          <w:tcW w:w="1444" w:type="dxa"/>
          <w:tcBorders>
            <w:top w:val="single" w:sz="7" w:space="0" w:color="000000"/>
            <w:left w:val="single" w:sz="7" w:space="0" w:color="000000"/>
            <w:bottom w:val="single" w:sz="7" w:space="0" w:color="000000"/>
            <w:right w:val="single" w:sz="7" w:space="0" w:color="000000"/>
          </w:tcBorders>
        </w:tcPr>
        <w:p w:rsidR="007F6323" w:rsidRDefault="007F6323" w:rsidP="00540CDA">
          <w:pPr>
            <w:pStyle w:val="FHC"/>
          </w:pPr>
          <w:r>
            <w:t>Jun. 7, 2010</w:t>
          </w:r>
        </w:p>
        <w:p w:rsidR="007F6323" w:rsidRPr="00B439C7" w:rsidRDefault="007F6323" w:rsidP="00540CDA">
          <w:pPr>
            <w:pStyle w:val="FHC"/>
          </w:pPr>
        </w:p>
      </w:tc>
    </w:tr>
    <w:tr w:rsidR="007F6323">
      <w:trPr>
        <w:cantSplit/>
        <w:trHeight w:hRule="exact" w:val="408"/>
      </w:trPr>
      <w:tc>
        <w:tcPr>
          <w:tcW w:w="1190" w:type="dxa"/>
          <w:vMerge w:val="restart"/>
          <w:tcBorders>
            <w:top w:val="single" w:sz="7" w:space="0" w:color="000000"/>
            <w:left w:val="single" w:sz="7" w:space="0" w:color="000000"/>
            <w:bottom w:val="single" w:sz="7" w:space="0" w:color="000000"/>
            <w:right w:val="single" w:sz="7" w:space="0" w:color="000000"/>
          </w:tcBorders>
          <w:vAlign w:val="center"/>
        </w:tcPr>
        <w:p w:rsidR="007F6323" w:rsidRDefault="007F6323">
          <w:pPr>
            <w:pStyle w:val="FHL"/>
          </w:pPr>
          <w:r>
            <w:t>Issue to:</w:t>
          </w:r>
        </w:p>
      </w:tc>
      <w:tc>
        <w:tcPr>
          <w:tcW w:w="5209" w:type="dxa"/>
          <w:vMerge w:val="restart"/>
          <w:tcBorders>
            <w:top w:val="single" w:sz="7" w:space="0" w:color="000000"/>
            <w:left w:val="single" w:sz="7" w:space="0" w:color="000000"/>
            <w:bottom w:val="single" w:sz="7" w:space="0" w:color="000000"/>
            <w:right w:val="single" w:sz="7" w:space="0" w:color="000000"/>
          </w:tcBorders>
          <w:vAlign w:val="center"/>
        </w:tcPr>
        <w:p w:rsidR="007F6323" w:rsidRDefault="007F6323">
          <w:pPr>
            <w:pStyle w:val="FHC"/>
          </w:pPr>
          <w:r>
            <w:t>All Manual Holders</w:t>
          </w:r>
        </w:p>
      </w:tc>
      <w:tc>
        <w:tcPr>
          <w:tcW w:w="1157" w:type="dxa"/>
          <w:tcBorders>
            <w:top w:val="single" w:sz="7" w:space="0" w:color="000000"/>
            <w:left w:val="single" w:sz="7" w:space="0" w:color="000000"/>
            <w:bottom w:val="double" w:sz="7" w:space="0" w:color="000000"/>
            <w:right w:val="single" w:sz="7" w:space="0" w:color="000000"/>
          </w:tcBorders>
          <w:vAlign w:val="center"/>
        </w:tcPr>
        <w:p w:rsidR="007F6323" w:rsidRDefault="007F6323">
          <w:pPr>
            <w:pStyle w:val="FHL"/>
          </w:pPr>
          <w:r>
            <w:t xml:space="preserve">Page: </w:t>
          </w:r>
        </w:p>
      </w:tc>
      <w:tc>
        <w:tcPr>
          <w:tcW w:w="1444" w:type="dxa"/>
          <w:tcBorders>
            <w:top w:val="single" w:sz="7" w:space="0" w:color="000000"/>
            <w:left w:val="single" w:sz="7" w:space="0" w:color="000000"/>
            <w:bottom w:val="double" w:sz="7" w:space="0" w:color="000000"/>
            <w:right w:val="single" w:sz="7" w:space="0" w:color="000000"/>
          </w:tcBorders>
          <w:vAlign w:val="center"/>
        </w:tcPr>
        <w:p w:rsidR="007F6323" w:rsidRDefault="003F7A67">
          <w:pPr>
            <w:pStyle w:val="FHC"/>
            <w:rPr>
              <w:rFonts w:cs="Arial"/>
            </w:rPr>
          </w:pPr>
          <w:r>
            <w:rPr>
              <w:rStyle w:val="PageNumber"/>
              <w:rFonts w:cs="Arial"/>
            </w:rPr>
            <w:fldChar w:fldCharType="begin"/>
          </w:r>
          <w:r w:rsidR="007F6323">
            <w:rPr>
              <w:rStyle w:val="PageNumber"/>
              <w:rFonts w:cs="Arial"/>
            </w:rPr>
            <w:instrText xml:space="preserve"> PAGE </w:instrText>
          </w:r>
          <w:r>
            <w:rPr>
              <w:rStyle w:val="PageNumber"/>
              <w:rFonts w:cs="Arial"/>
            </w:rPr>
            <w:fldChar w:fldCharType="separate"/>
          </w:r>
          <w:r w:rsidR="009276D5">
            <w:rPr>
              <w:rStyle w:val="PageNumber"/>
              <w:rFonts w:cs="Arial"/>
              <w:noProof/>
            </w:rPr>
            <w:t>2</w:t>
          </w:r>
          <w:r>
            <w:rPr>
              <w:rStyle w:val="PageNumber"/>
              <w:rFonts w:cs="Arial"/>
            </w:rPr>
            <w:fldChar w:fldCharType="end"/>
          </w:r>
          <w:r w:rsidR="007F6323">
            <w:rPr>
              <w:rStyle w:val="PageNumber"/>
              <w:rFonts w:cs="Arial"/>
            </w:rPr>
            <w:t xml:space="preserve"> of </w:t>
          </w:r>
          <w:r>
            <w:rPr>
              <w:rStyle w:val="PageNumber"/>
              <w:rFonts w:cs="Arial"/>
            </w:rPr>
            <w:fldChar w:fldCharType="begin"/>
          </w:r>
          <w:r w:rsidR="007F6323">
            <w:rPr>
              <w:rStyle w:val="PageNumber"/>
              <w:rFonts w:cs="Arial"/>
            </w:rPr>
            <w:instrText xml:space="preserve"> NUMPAGES </w:instrText>
          </w:r>
          <w:r>
            <w:rPr>
              <w:rStyle w:val="PageNumber"/>
              <w:rFonts w:cs="Arial"/>
            </w:rPr>
            <w:fldChar w:fldCharType="separate"/>
          </w:r>
          <w:r w:rsidR="00412ACC">
            <w:rPr>
              <w:rStyle w:val="PageNumber"/>
              <w:rFonts w:cs="Arial"/>
              <w:noProof/>
            </w:rPr>
            <w:t>3</w:t>
          </w:r>
          <w:r>
            <w:rPr>
              <w:rStyle w:val="PageNumber"/>
              <w:rFonts w:cs="Arial"/>
            </w:rPr>
            <w:fldChar w:fldCharType="end"/>
          </w:r>
        </w:p>
      </w:tc>
    </w:tr>
    <w:tr w:rsidR="007F6323">
      <w:trPr>
        <w:cantSplit/>
        <w:trHeight w:hRule="exact" w:val="408"/>
      </w:trPr>
      <w:tc>
        <w:tcPr>
          <w:tcW w:w="1190" w:type="dxa"/>
          <w:vMerge/>
          <w:tcBorders>
            <w:top w:val="single" w:sz="7" w:space="0" w:color="000000"/>
            <w:left w:val="single" w:sz="7" w:space="0" w:color="000000"/>
            <w:bottom w:val="single" w:sz="7" w:space="0" w:color="000000"/>
            <w:right w:val="single" w:sz="7" w:space="0" w:color="000000"/>
          </w:tcBorders>
          <w:vAlign w:val="center"/>
        </w:tcPr>
        <w:p w:rsidR="007F6323" w:rsidRDefault="007F6323">
          <w:pPr>
            <w:pStyle w:val="FHL"/>
          </w:pPr>
        </w:p>
      </w:tc>
      <w:tc>
        <w:tcPr>
          <w:tcW w:w="5209" w:type="dxa"/>
          <w:vMerge/>
          <w:tcBorders>
            <w:top w:val="single" w:sz="7" w:space="0" w:color="000000"/>
            <w:left w:val="single" w:sz="7" w:space="0" w:color="000000"/>
            <w:bottom w:val="single" w:sz="7" w:space="0" w:color="000000"/>
            <w:right w:val="double" w:sz="7" w:space="0" w:color="000000"/>
          </w:tcBorders>
          <w:vAlign w:val="center"/>
        </w:tcPr>
        <w:p w:rsidR="007F6323" w:rsidRDefault="007F6323">
          <w:pPr>
            <w:pStyle w:val="FHC"/>
          </w:pPr>
        </w:p>
      </w:tc>
      <w:tc>
        <w:tcPr>
          <w:tcW w:w="1157" w:type="dxa"/>
          <w:tcBorders>
            <w:top w:val="double" w:sz="7" w:space="0" w:color="000000"/>
            <w:left w:val="double" w:sz="7" w:space="0" w:color="000000"/>
            <w:bottom w:val="single" w:sz="7" w:space="0" w:color="000000"/>
            <w:right w:val="single" w:sz="7" w:space="0" w:color="000000"/>
          </w:tcBorders>
          <w:vAlign w:val="center"/>
        </w:tcPr>
        <w:p w:rsidR="007F6323" w:rsidRDefault="007F6323">
          <w:pPr>
            <w:pStyle w:val="FHL"/>
          </w:pPr>
          <w:r>
            <w:t>Replaces:</w:t>
          </w:r>
        </w:p>
      </w:tc>
      <w:tc>
        <w:tcPr>
          <w:tcW w:w="1444" w:type="dxa"/>
          <w:tcBorders>
            <w:top w:val="double" w:sz="7" w:space="0" w:color="000000"/>
            <w:left w:val="single" w:sz="7" w:space="0" w:color="000000"/>
            <w:bottom w:val="single" w:sz="7" w:space="0" w:color="000000"/>
            <w:right w:val="single" w:sz="7" w:space="0" w:color="000000"/>
          </w:tcBorders>
          <w:vAlign w:val="center"/>
        </w:tcPr>
        <w:p w:rsidR="007F6323" w:rsidRDefault="007F6323">
          <w:pPr>
            <w:pStyle w:val="FHB"/>
          </w:pPr>
        </w:p>
      </w:tc>
    </w:tr>
    <w:tr w:rsidR="007F6323">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7F6323" w:rsidRDefault="007F6323">
          <w:pPr>
            <w:pStyle w:val="FHL"/>
          </w:pPr>
          <w:r>
            <w:t>Issued by:</w:t>
          </w:r>
        </w:p>
      </w:tc>
      <w:tc>
        <w:tcPr>
          <w:tcW w:w="5209" w:type="dxa"/>
          <w:tcBorders>
            <w:top w:val="single" w:sz="7" w:space="0" w:color="000000"/>
            <w:left w:val="single" w:sz="7" w:space="0" w:color="000000"/>
            <w:bottom w:val="single" w:sz="7" w:space="0" w:color="000000"/>
            <w:right w:val="double" w:sz="7" w:space="0" w:color="000000"/>
          </w:tcBorders>
          <w:vAlign w:val="center"/>
        </w:tcPr>
        <w:p w:rsidR="007F6323" w:rsidRDefault="007F6323">
          <w:pPr>
            <w:pStyle w:val="FHC"/>
          </w:pPr>
          <w:r>
            <w:t>Director of Finance and Administration</w:t>
          </w:r>
        </w:p>
      </w:tc>
      <w:tc>
        <w:tcPr>
          <w:tcW w:w="1157" w:type="dxa"/>
          <w:tcBorders>
            <w:top w:val="single" w:sz="7" w:space="0" w:color="000000"/>
            <w:left w:val="double" w:sz="7" w:space="0" w:color="000000"/>
            <w:bottom w:val="single" w:sz="7" w:space="0" w:color="000000"/>
            <w:right w:val="single" w:sz="7" w:space="0" w:color="000000"/>
          </w:tcBorders>
          <w:vAlign w:val="center"/>
        </w:tcPr>
        <w:p w:rsidR="007F6323" w:rsidRDefault="007F6323">
          <w:pPr>
            <w:pStyle w:val="FHL"/>
          </w:pPr>
          <w:r>
            <w:t>Dated:</w:t>
          </w:r>
        </w:p>
      </w:tc>
      <w:tc>
        <w:tcPr>
          <w:tcW w:w="1444" w:type="dxa"/>
          <w:tcBorders>
            <w:top w:val="single" w:sz="7" w:space="0" w:color="000000"/>
            <w:left w:val="single" w:sz="7" w:space="0" w:color="000000"/>
            <w:bottom w:val="single" w:sz="7" w:space="0" w:color="000000"/>
            <w:right w:val="single" w:sz="7" w:space="0" w:color="000000"/>
          </w:tcBorders>
          <w:vAlign w:val="center"/>
        </w:tcPr>
        <w:p w:rsidR="007F6323" w:rsidRDefault="007F6323">
          <w:pPr>
            <w:pStyle w:val="FHC"/>
          </w:pPr>
        </w:p>
      </w:tc>
    </w:tr>
  </w:tbl>
  <w:p w:rsidR="006C3F84" w:rsidRDefault="006C3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Ind w:w="2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190"/>
      <w:gridCol w:w="5209"/>
      <w:gridCol w:w="1157"/>
      <w:gridCol w:w="1444"/>
    </w:tblGrid>
    <w:tr w:rsidR="006C3F84">
      <w:trPr>
        <w:cantSplit/>
        <w:trHeight w:hRule="exact" w:val="408"/>
      </w:trPr>
      <w:tc>
        <w:tcPr>
          <w:tcW w:w="9000" w:type="dxa"/>
          <w:gridSpan w:val="4"/>
          <w:vAlign w:val="center"/>
        </w:tcPr>
        <w:p w:rsidR="006C3F84" w:rsidRDefault="007F6323" w:rsidP="007F6323">
          <w:pPr>
            <w:pStyle w:val="FHB"/>
          </w:pPr>
          <w:r>
            <w:t>OPERATIONAL</w:t>
          </w:r>
          <w:r w:rsidR="006C3F84">
            <w:t xml:space="preserve"> POLICY and PROCEDURE</w:t>
          </w:r>
          <w:r>
            <w:t xml:space="preserve"> STATEMENT</w:t>
          </w:r>
        </w:p>
      </w:tc>
    </w:tr>
    <w:tr w:rsidR="006C3F84">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L"/>
          </w:pPr>
          <w:r>
            <w:t>Manual:</w:t>
          </w:r>
        </w:p>
      </w:tc>
      <w:tc>
        <w:tcPr>
          <w:tcW w:w="5209" w:type="dxa"/>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C"/>
          </w:pPr>
          <w:r>
            <w:t>Finance and Accounting</w:t>
          </w:r>
        </w:p>
      </w:tc>
      <w:tc>
        <w:tcPr>
          <w:tcW w:w="1157" w:type="dxa"/>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L"/>
          </w:pPr>
          <w:r>
            <w:t>SPP No.</w:t>
          </w:r>
        </w:p>
      </w:tc>
      <w:tc>
        <w:tcPr>
          <w:tcW w:w="1444" w:type="dxa"/>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B"/>
          </w:pPr>
          <w:r>
            <w:t>FN 2.03</w:t>
          </w:r>
        </w:p>
      </w:tc>
    </w:tr>
    <w:tr w:rsidR="00553BC7" w:rsidTr="008F1550">
      <w:trPr>
        <w:cantSplit/>
        <w:trHeight w:hRule="exact" w:val="473"/>
      </w:trPr>
      <w:tc>
        <w:tcPr>
          <w:tcW w:w="1190" w:type="dxa"/>
          <w:tcBorders>
            <w:top w:val="single" w:sz="7" w:space="0" w:color="000000"/>
            <w:left w:val="single" w:sz="7" w:space="0" w:color="000000"/>
            <w:bottom w:val="single" w:sz="7" w:space="0" w:color="000000"/>
            <w:right w:val="single" w:sz="7" w:space="0" w:color="000000"/>
          </w:tcBorders>
          <w:vAlign w:val="center"/>
        </w:tcPr>
        <w:p w:rsidR="00553BC7" w:rsidRDefault="00553BC7">
          <w:pPr>
            <w:pStyle w:val="FHL"/>
          </w:pPr>
          <w:r>
            <w:t>Section:</w:t>
          </w:r>
        </w:p>
      </w:tc>
      <w:tc>
        <w:tcPr>
          <w:tcW w:w="5209" w:type="dxa"/>
          <w:tcBorders>
            <w:top w:val="single" w:sz="7" w:space="0" w:color="000000"/>
            <w:left w:val="single" w:sz="7" w:space="0" w:color="000000"/>
            <w:bottom w:val="single" w:sz="7" w:space="0" w:color="000000"/>
            <w:right w:val="single" w:sz="7" w:space="0" w:color="000000"/>
          </w:tcBorders>
          <w:vAlign w:val="center"/>
        </w:tcPr>
        <w:p w:rsidR="00553BC7" w:rsidRDefault="00553BC7">
          <w:pPr>
            <w:pStyle w:val="FHC"/>
          </w:pPr>
          <w:r>
            <w:t>Purchasing Cycle</w:t>
          </w:r>
        </w:p>
      </w:tc>
      <w:tc>
        <w:tcPr>
          <w:tcW w:w="1157" w:type="dxa"/>
          <w:tcBorders>
            <w:top w:val="single" w:sz="7" w:space="0" w:color="000000"/>
            <w:left w:val="single" w:sz="7" w:space="0" w:color="000000"/>
            <w:bottom w:val="single" w:sz="7" w:space="0" w:color="000000"/>
            <w:right w:val="single" w:sz="7" w:space="0" w:color="000000"/>
          </w:tcBorders>
          <w:vAlign w:val="center"/>
        </w:tcPr>
        <w:p w:rsidR="00553BC7" w:rsidRDefault="00553BC7">
          <w:pPr>
            <w:pStyle w:val="FHL"/>
          </w:pPr>
          <w:r>
            <w:t>Issued:</w:t>
          </w:r>
        </w:p>
      </w:tc>
      <w:tc>
        <w:tcPr>
          <w:tcW w:w="1444" w:type="dxa"/>
          <w:tcBorders>
            <w:top w:val="single" w:sz="7" w:space="0" w:color="000000"/>
            <w:left w:val="single" w:sz="7" w:space="0" w:color="000000"/>
            <w:bottom w:val="single" w:sz="7" w:space="0" w:color="000000"/>
            <w:right w:val="single" w:sz="7" w:space="0" w:color="000000"/>
          </w:tcBorders>
        </w:tcPr>
        <w:p w:rsidR="00553BC7" w:rsidRDefault="007F6323" w:rsidP="00553BC7">
          <w:pPr>
            <w:pStyle w:val="FHC"/>
          </w:pPr>
          <w:r>
            <w:t>Oct. 6</w:t>
          </w:r>
          <w:r w:rsidR="00553BC7">
            <w:t>, 2010</w:t>
          </w:r>
        </w:p>
        <w:p w:rsidR="00553BC7" w:rsidRPr="00B439C7" w:rsidRDefault="00553BC7" w:rsidP="00A41576">
          <w:pPr>
            <w:pStyle w:val="FHC"/>
          </w:pPr>
        </w:p>
      </w:tc>
    </w:tr>
    <w:tr w:rsidR="00553BC7" w:rsidTr="00765F4B">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553BC7" w:rsidRDefault="00553BC7">
          <w:pPr>
            <w:pStyle w:val="FHL"/>
          </w:pPr>
          <w:r>
            <w:t>Subject:</w:t>
          </w:r>
        </w:p>
      </w:tc>
      <w:tc>
        <w:tcPr>
          <w:tcW w:w="5209" w:type="dxa"/>
          <w:tcBorders>
            <w:top w:val="single" w:sz="7" w:space="0" w:color="000000"/>
            <w:left w:val="single" w:sz="7" w:space="0" w:color="000000"/>
            <w:bottom w:val="single" w:sz="7" w:space="0" w:color="000000"/>
            <w:right w:val="single" w:sz="7" w:space="0" w:color="000000"/>
          </w:tcBorders>
          <w:vAlign w:val="center"/>
        </w:tcPr>
        <w:p w:rsidR="00553BC7" w:rsidRDefault="00B5136F">
          <w:pPr>
            <w:pStyle w:val="FHB"/>
          </w:pPr>
          <w:r>
            <w:t>AGENCY</w:t>
          </w:r>
          <w:r w:rsidR="00553BC7">
            <w:t xml:space="preserve"> CREDIT CARDS</w:t>
          </w:r>
        </w:p>
      </w:tc>
      <w:tc>
        <w:tcPr>
          <w:tcW w:w="1157" w:type="dxa"/>
          <w:tcBorders>
            <w:top w:val="single" w:sz="7" w:space="0" w:color="000000"/>
            <w:left w:val="single" w:sz="7" w:space="0" w:color="000000"/>
            <w:bottom w:val="single" w:sz="7" w:space="0" w:color="000000"/>
            <w:right w:val="single" w:sz="7" w:space="0" w:color="000000"/>
          </w:tcBorders>
          <w:vAlign w:val="center"/>
        </w:tcPr>
        <w:p w:rsidR="00553BC7" w:rsidRDefault="00553BC7">
          <w:pPr>
            <w:pStyle w:val="FHL"/>
          </w:pPr>
        </w:p>
      </w:tc>
      <w:tc>
        <w:tcPr>
          <w:tcW w:w="1444" w:type="dxa"/>
          <w:tcBorders>
            <w:top w:val="single" w:sz="7" w:space="0" w:color="000000"/>
            <w:left w:val="single" w:sz="7" w:space="0" w:color="000000"/>
            <w:bottom w:val="single" w:sz="7" w:space="0" w:color="000000"/>
            <w:right w:val="single" w:sz="7" w:space="0" w:color="000000"/>
          </w:tcBorders>
        </w:tcPr>
        <w:p w:rsidR="00553BC7" w:rsidRPr="00B439C7" w:rsidRDefault="00553BC7" w:rsidP="00A41576">
          <w:pPr>
            <w:pStyle w:val="FHC"/>
          </w:pPr>
        </w:p>
      </w:tc>
    </w:tr>
    <w:tr w:rsidR="006C3F84">
      <w:trPr>
        <w:cantSplit/>
        <w:trHeight w:hRule="exact" w:val="408"/>
      </w:trPr>
      <w:tc>
        <w:tcPr>
          <w:tcW w:w="1190" w:type="dxa"/>
          <w:vMerge w:val="restart"/>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L"/>
          </w:pPr>
          <w:r>
            <w:t>Issue to:</w:t>
          </w:r>
        </w:p>
      </w:tc>
      <w:tc>
        <w:tcPr>
          <w:tcW w:w="5209" w:type="dxa"/>
          <w:vMerge w:val="restart"/>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C"/>
          </w:pPr>
          <w:r>
            <w:t>All Manual Holders</w:t>
          </w:r>
        </w:p>
      </w:tc>
      <w:tc>
        <w:tcPr>
          <w:tcW w:w="1157" w:type="dxa"/>
          <w:tcBorders>
            <w:top w:val="single" w:sz="7" w:space="0" w:color="000000"/>
            <w:left w:val="single" w:sz="7" w:space="0" w:color="000000"/>
            <w:bottom w:val="double" w:sz="7" w:space="0" w:color="000000"/>
            <w:right w:val="single" w:sz="7" w:space="0" w:color="000000"/>
          </w:tcBorders>
          <w:vAlign w:val="center"/>
        </w:tcPr>
        <w:p w:rsidR="006C3F84" w:rsidRDefault="006C3F84">
          <w:pPr>
            <w:pStyle w:val="FHL"/>
          </w:pPr>
          <w:r>
            <w:t xml:space="preserve">Page: </w:t>
          </w:r>
        </w:p>
      </w:tc>
      <w:tc>
        <w:tcPr>
          <w:tcW w:w="1444" w:type="dxa"/>
          <w:tcBorders>
            <w:top w:val="single" w:sz="7" w:space="0" w:color="000000"/>
            <w:left w:val="single" w:sz="7" w:space="0" w:color="000000"/>
            <w:bottom w:val="double" w:sz="7" w:space="0" w:color="000000"/>
            <w:right w:val="single" w:sz="7" w:space="0" w:color="000000"/>
          </w:tcBorders>
          <w:vAlign w:val="center"/>
        </w:tcPr>
        <w:p w:rsidR="006C3F84" w:rsidRDefault="003F7A67">
          <w:pPr>
            <w:pStyle w:val="FHC"/>
            <w:rPr>
              <w:rFonts w:cs="Arial"/>
            </w:rPr>
          </w:pPr>
          <w:r>
            <w:rPr>
              <w:rStyle w:val="PageNumber"/>
              <w:rFonts w:cs="Arial"/>
            </w:rPr>
            <w:fldChar w:fldCharType="begin"/>
          </w:r>
          <w:r w:rsidR="006C3F84">
            <w:rPr>
              <w:rStyle w:val="PageNumber"/>
              <w:rFonts w:cs="Arial"/>
            </w:rPr>
            <w:instrText xml:space="preserve"> PAGE </w:instrText>
          </w:r>
          <w:r>
            <w:rPr>
              <w:rStyle w:val="PageNumber"/>
              <w:rFonts w:cs="Arial"/>
            </w:rPr>
            <w:fldChar w:fldCharType="separate"/>
          </w:r>
          <w:r w:rsidR="009C38F6">
            <w:rPr>
              <w:rStyle w:val="PageNumber"/>
              <w:rFonts w:cs="Arial"/>
              <w:noProof/>
            </w:rPr>
            <w:t>3</w:t>
          </w:r>
          <w:r>
            <w:rPr>
              <w:rStyle w:val="PageNumber"/>
              <w:rFonts w:cs="Arial"/>
            </w:rPr>
            <w:fldChar w:fldCharType="end"/>
          </w:r>
          <w:r w:rsidR="006C3F84">
            <w:rPr>
              <w:rStyle w:val="PageNumber"/>
              <w:rFonts w:cs="Arial"/>
            </w:rPr>
            <w:t xml:space="preserve"> of </w:t>
          </w:r>
          <w:r>
            <w:rPr>
              <w:rStyle w:val="PageNumber"/>
              <w:rFonts w:cs="Arial"/>
            </w:rPr>
            <w:fldChar w:fldCharType="begin"/>
          </w:r>
          <w:r w:rsidR="006C3F84">
            <w:rPr>
              <w:rStyle w:val="PageNumber"/>
              <w:rFonts w:cs="Arial"/>
            </w:rPr>
            <w:instrText xml:space="preserve"> NUMPAGES </w:instrText>
          </w:r>
          <w:r>
            <w:rPr>
              <w:rStyle w:val="PageNumber"/>
              <w:rFonts w:cs="Arial"/>
            </w:rPr>
            <w:fldChar w:fldCharType="separate"/>
          </w:r>
          <w:r w:rsidR="009C38F6">
            <w:rPr>
              <w:rStyle w:val="PageNumber"/>
              <w:rFonts w:cs="Arial"/>
              <w:noProof/>
            </w:rPr>
            <w:t>3</w:t>
          </w:r>
          <w:r>
            <w:rPr>
              <w:rStyle w:val="PageNumber"/>
              <w:rFonts w:cs="Arial"/>
            </w:rPr>
            <w:fldChar w:fldCharType="end"/>
          </w:r>
        </w:p>
      </w:tc>
    </w:tr>
    <w:tr w:rsidR="006C3F84">
      <w:trPr>
        <w:cantSplit/>
        <w:trHeight w:hRule="exact" w:val="408"/>
      </w:trPr>
      <w:tc>
        <w:tcPr>
          <w:tcW w:w="1190" w:type="dxa"/>
          <w:vMerge/>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L"/>
          </w:pPr>
        </w:p>
      </w:tc>
      <w:tc>
        <w:tcPr>
          <w:tcW w:w="5209" w:type="dxa"/>
          <w:vMerge/>
          <w:tcBorders>
            <w:top w:val="single" w:sz="7" w:space="0" w:color="000000"/>
            <w:left w:val="single" w:sz="7" w:space="0" w:color="000000"/>
            <w:bottom w:val="single" w:sz="7" w:space="0" w:color="000000"/>
            <w:right w:val="double" w:sz="7" w:space="0" w:color="000000"/>
          </w:tcBorders>
          <w:vAlign w:val="center"/>
        </w:tcPr>
        <w:p w:rsidR="006C3F84" w:rsidRDefault="006C3F84">
          <w:pPr>
            <w:pStyle w:val="FHC"/>
          </w:pPr>
        </w:p>
      </w:tc>
      <w:tc>
        <w:tcPr>
          <w:tcW w:w="1157" w:type="dxa"/>
          <w:tcBorders>
            <w:top w:val="double" w:sz="7" w:space="0" w:color="000000"/>
            <w:left w:val="double" w:sz="7" w:space="0" w:color="000000"/>
            <w:bottom w:val="single" w:sz="7" w:space="0" w:color="000000"/>
            <w:right w:val="single" w:sz="7" w:space="0" w:color="000000"/>
          </w:tcBorders>
          <w:vAlign w:val="center"/>
        </w:tcPr>
        <w:p w:rsidR="006C3F84" w:rsidRDefault="006C3F84">
          <w:pPr>
            <w:pStyle w:val="FHL"/>
          </w:pPr>
          <w:r>
            <w:t>Replaces:</w:t>
          </w:r>
        </w:p>
      </w:tc>
      <w:tc>
        <w:tcPr>
          <w:tcW w:w="1444" w:type="dxa"/>
          <w:tcBorders>
            <w:top w:val="double" w:sz="7" w:space="0" w:color="000000"/>
            <w:left w:val="single" w:sz="7" w:space="0" w:color="000000"/>
            <w:bottom w:val="single" w:sz="7" w:space="0" w:color="000000"/>
            <w:right w:val="single" w:sz="7" w:space="0" w:color="000000"/>
          </w:tcBorders>
          <w:vAlign w:val="center"/>
        </w:tcPr>
        <w:p w:rsidR="008F1550" w:rsidRDefault="009C38F6">
          <w:pPr>
            <w:pStyle w:val="FHB"/>
          </w:pPr>
          <w:r>
            <w:t>Apr 16, 2021</w:t>
          </w:r>
        </w:p>
        <w:p w:rsidR="006C3F84" w:rsidRDefault="008F1550">
          <w:pPr>
            <w:pStyle w:val="FHB"/>
          </w:pPr>
          <w:r>
            <w:t xml:space="preserve"> </w:t>
          </w:r>
        </w:p>
      </w:tc>
    </w:tr>
    <w:tr w:rsidR="006C3F84">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6C3F84" w:rsidRDefault="006C3F84">
          <w:pPr>
            <w:pStyle w:val="FHL"/>
          </w:pPr>
          <w:r>
            <w:t>Issued by:</w:t>
          </w:r>
        </w:p>
      </w:tc>
      <w:tc>
        <w:tcPr>
          <w:tcW w:w="5209" w:type="dxa"/>
          <w:tcBorders>
            <w:top w:val="single" w:sz="7" w:space="0" w:color="000000"/>
            <w:left w:val="single" w:sz="7" w:space="0" w:color="000000"/>
            <w:bottom w:val="single" w:sz="7" w:space="0" w:color="000000"/>
            <w:right w:val="double" w:sz="7" w:space="0" w:color="000000"/>
          </w:tcBorders>
          <w:vAlign w:val="center"/>
        </w:tcPr>
        <w:p w:rsidR="006C3F84" w:rsidRDefault="007F6323" w:rsidP="00854CCE">
          <w:pPr>
            <w:pStyle w:val="FHC"/>
          </w:pPr>
          <w:r>
            <w:t xml:space="preserve">Director of </w:t>
          </w:r>
          <w:r w:rsidR="00854CCE">
            <w:t>Corporate Services</w:t>
          </w:r>
        </w:p>
      </w:tc>
      <w:tc>
        <w:tcPr>
          <w:tcW w:w="1157" w:type="dxa"/>
          <w:tcBorders>
            <w:top w:val="single" w:sz="7" w:space="0" w:color="000000"/>
            <w:left w:val="double" w:sz="7" w:space="0" w:color="000000"/>
            <w:bottom w:val="single" w:sz="7" w:space="0" w:color="000000"/>
            <w:right w:val="single" w:sz="7" w:space="0" w:color="000000"/>
          </w:tcBorders>
          <w:vAlign w:val="center"/>
        </w:tcPr>
        <w:p w:rsidR="006C3F84" w:rsidRDefault="006C3F84">
          <w:pPr>
            <w:pStyle w:val="FHL"/>
          </w:pPr>
          <w:r>
            <w:t>Dated:</w:t>
          </w:r>
        </w:p>
      </w:tc>
      <w:tc>
        <w:tcPr>
          <w:tcW w:w="1444" w:type="dxa"/>
          <w:tcBorders>
            <w:top w:val="single" w:sz="7" w:space="0" w:color="000000"/>
            <w:left w:val="single" w:sz="7" w:space="0" w:color="000000"/>
            <w:bottom w:val="single" w:sz="7" w:space="0" w:color="000000"/>
            <w:right w:val="single" w:sz="7" w:space="0" w:color="000000"/>
          </w:tcBorders>
          <w:vAlign w:val="center"/>
        </w:tcPr>
        <w:p w:rsidR="006C3F84" w:rsidRDefault="009C38F6" w:rsidP="008F1550">
          <w:pPr>
            <w:pStyle w:val="FHC"/>
          </w:pPr>
          <w:r>
            <w:t>Apr. 15</w:t>
          </w:r>
          <w:r w:rsidR="00B53BD2">
            <w:t xml:space="preserve">, </w:t>
          </w:r>
          <w:r>
            <w:t>,2024</w:t>
          </w:r>
        </w:p>
      </w:tc>
    </w:tr>
  </w:tbl>
  <w:p w:rsidR="006C3F84" w:rsidRDefault="006C3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852F4"/>
    <w:multiLevelType w:val="multilevel"/>
    <w:tmpl w:val="1F148B84"/>
    <w:lvl w:ilvl="0">
      <w:start w:val="4"/>
      <w:numFmt w:val="decimal"/>
      <w:lvlText w:val="%1"/>
      <w:lvlJc w:val="left"/>
      <w:pPr>
        <w:tabs>
          <w:tab w:val="num" w:pos="900"/>
        </w:tabs>
        <w:ind w:left="900" w:hanging="900"/>
      </w:pPr>
      <w:rPr>
        <w:rFonts w:hint="default"/>
      </w:rPr>
    </w:lvl>
    <w:lvl w:ilvl="1">
      <w:start w:val="3"/>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4AA35EF"/>
    <w:multiLevelType w:val="hybridMultilevel"/>
    <w:tmpl w:val="846815D4"/>
    <w:lvl w:ilvl="0" w:tplc="5E4E439E">
      <w:start w:val="1"/>
      <w:numFmt w:val="lowerLetter"/>
      <w:lvlText w:val="(%1)"/>
      <w:lvlJc w:val="left"/>
      <w:pPr>
        <w:ind w:left="1447" w:hanging="540"/>
      </w:pPr>
      <w:rPr>
        <w:rFonts w:hint="default"/>
        <w:b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2A06745A"/>
    <w:multiLevelType w:val="hybridMultilevel"/>
    <w:tmpl w:val="FA24FFF8"/>
    <w:lvl w:ilvl="0" w:tplc="71428C5E">
      <w:start w:val="1"/>
      <w:numFmt w:val="bullet"/>
      <w:pStyle w:val="IntroBullet2"/>
      <w:lvlText w:val=""/>
      <w:lvlJc w:val="left"/>
      <w:pPr>
        <w:tabs>
          <w:tab w:val="num" w:pos="3420"/>
        </w:tabs>
        <w:ind w:left="3420" w:hanging="360"/>
      </w:pPr>
      <w:rPr>
        <w:rFonts w:ascii="Symbol" w:hAnsi="Symbol" w:cs="Times New Roman"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start w:val="1"/>
      <w:numFmt w:val="bullet"/>
      <w:lvlText w:val=""/>
      <w:lvlJc w:val="left"/>
      <w:pPr>
        <w:tabs>
          <w:tab w:val="num" w:pos="4860"/>
        </w:tabs>
        <w:ind w:left="4860" w:hanging="360"/>
      </w:pPr>
      <w:rPr>
        <w:rFonts w:ascii="Wingdings" w:hAnsi="Wingdings" w:cs="Times New Roman" w:hint="default"/>
      </w:rPr>
    </w:lvl>
    <w:lvl w:ilvl="3" w:tplc="04090001">
      <w:start w:val="1"/>
      <w:numFmt w:val="bullet"/>
      <w:lvlText w:val=""/>
      <w:lvlJc w:val="left"/>
      <w:pPr>
        <w:tabs>
          <w:tab w:val="num" w:pos="5580"/>
        </w:tabs>
        <w:ind w:left="5580" w:hanging="360"/>
      </w:pPr>
      <w:rPr>
        <w:rFonts w:ascii="Symbol" w:hAnsi="Symbol" w:cs="Times New Roman" w:hint="default"/>
      </w:rPr>
    </w:lvl>
    <w:lvl w:ilvl="4" w:tplc="04090003">
      <w:start w:val="1"/>
      <w:numFmt w:val="bullet"/>
      <w:lvlText w:val="o"/>
      <w:lvlJc w:val="left"/>
      <w:pPr>
        <w:tabs>
          <w:tab w:val="num" w:pos="6300"/>
        </w:tabs>
        <w:ind w:left="6300" w:hanging="360"/>
      </w:pPr>
      <w:rPr>
        <w:rFonts w:ascii="Courier New" w:hAnsi="Courier New" w:cs="Courier New" w:hint="default"/>
      </w:rPr>
    </w:lvl>
    <w:lvl w:ilvl="5" w:tplc="04090005">
      <w:start w:val="1"/>
      <w:numFmt w:val="bullet"/>
      <w:lvlText w:val=""/>
      <w:lvlJc w:val="left"/>
      <w:pPr>
        <w:tabs>
          <w:tab w:val="num" w:pos="7020"/>
        </w:tabs>
        <w:ind w:left="7020" w:hanging="360"/>
      </w:pPr>
      <w:rPr>
        <w:rFonts w:ascii="Wingdings" w:hAnsi="Wingdings" w:cs="Times New Roman" w:hint="default"/>
      </w:rPr>
    </w:lvl>
    <w:lvl w:ilvl="6" w:tplc="04090001">
      <w:start w:val="1"/>
      <w:numFmt w:val="bullet"/>
      <w:lvlText w:val=""/>
      <w:lvlJc w:val="left"/>
      <w:pPr>
        <w:tabs>
          <w:tab w:val="num" w:pos="7740"/>
        </w:tabs>
        <w:ind w:left="7740" w:hanging="360"/>
      </w:pPr>
      <w:rPr>
        <w:rFonts w:ascii="Symbol" w:hAnsi="Symbol" w:cs="Times New Roman" w:hint="default"/>
      </w:rPr>
    </w:lvl>
    <w:lvl w:ilvl="7" w:tplc="04090003">
      <w:start w:val="1"/>
      <w:numFmt w:val="bullet"/>
      <w:lvlText w:val="o"/>
      <w:lvlJc w:val="left"/>
      <w:pPr>
        <w:tabs>
          <w:tab w:val="num" w:pos="8460"/>
        </w:tabs>
        <w:ind w:left="8460" w:hanging="360"/>
      </w:pPr>
      <w:rPr>
        <w:rFonts w:ascii="Courier New" w:hAnsi="Courier New" w:cs="Courier New" w:hint="default"/>
      </w:rPr>
    </w:lvl>
    <w:lvl w:ilvl="8" w:tplc="04090005">
      <w:start w:val="1"/>
      <w:numFmt w:val="bullet"/>
      <w:lvlText w:val=""/>
      <w:lvlJc w:val="left"/>
      <w:pPr>
        <w:tabs>
          <w:tab w:val="num" w:pos="9180"/>
        </w:tabs>
        <w:ind w:left="9180" w:hanging="360"/>
      </w:pPr>
      <w:rPr>
        <w:rFonts w:ascii="Wingdings" w:hAnsi="Wingdings" w:cs="Times New Roman" w:hint="default"/>
      </w:rPr>
    </w:lvl>
  </w:abstractNum>
  <w:abstractNum w:abstractNumId="3" w15:restartNumberingAfterBreak="0">
    <w:nsid w:val="404E3D68"/>
    <w:multiLevelType w:val="hybridMultilevel"/>
    <w:tmpl w:val="20A0035E"/>
    <w:lvl w:ilvl="0" w:tplc="4462C25E">
      <w:start w:val="1"/>
      <w:numFmt w:val="bullet"/>
      <w:lvlText w:val=""/>
      <w:lvlJc w:val="left"/>
      <w:pPr>
        <w:tabs>
          <w:tab w:val="num" w:pos="1008"/>
        </w:tabs>
        <w:ind w:left="1008"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336330"/>
    <w:multiLevelType w:val="hybridMultilevel"/>
    <w:tmpl w:val="E2CE7BAC"/>
    <w:lvl w:ilvl="0" w:tplc="4462C25E">
      <w:start w:val="1"/>
      <w:numFmt w:val="bullet"/>
      <w:lvlText w:val=""/>
      <w:lvlJc w:val="left"/>
      <w:pPr>
        <w:tabs>
          <w:tab w:val="num" w:pos="1008"/>
        </w:tabs>
        <w:ind w:left="1008"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2076F"/>
    <w:multiLevelType w:val="hybridMultilevel"/>
    <w:tmpl w:val="7A22D9CE"/>
    <w:lvl w:ilvl="0" w:tplc="C9067CB4">
      <w:start w:val="1"/>
      <w:numFmt w:val="bullet"/>
      <w:pStyle w:val="IntroBullet2Special"/>
      <w:lvlText w:val="o"/>
      <w:lvlJc w:val="left"/>
      <w:pPr>
        <w:tabs>
          <w:tab w:val="num" w:pos="3420"/>
        </w:tabs>
        <w:ind w:left="3420" w:hanging="360"/>
      </w:pPr>
      <w:rPr>
        <w:rFonts w:ascii="Courier New" w:hAnsi="Courier New" w:cs="Courier New"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start w:val="1"/>
      <w:numFmt w:val="bullet"/>
      <w:lvlText w:val=""/>
      <w:lvlJc w:val="left"/>
      <w:pPr>
        <w:tabs>
          <w:tab w:val="num" w:pos="4860"/>
        </w:tabs>
        <w:ind w:left="4860" w:hanging="360"/>
      </w:pPr>
      <w:rPr>
        <w:rFonts w:ascii="Wingdings" w:hAnsi="Wingdings" w:cs="Times New Roman" w:hint="default"/>
      </w:rPr>
    </w:lvl>
    <w:lvl w:ilvl="3" w:tplc="04090001">
      <w:start w:val="1"/>
      <w:numFmt w:val="bullet"/>
      <w:lvlText w:val=""/>
      <w:lvlJc w:val="left"/>
      <w:pPr>
        <w:tabs>
          <w:tab w:val="num" w:pos="5580"/>
        </w:tabs>
        <w:ind w:left="5580" w:hanging="360"/>
      </w:pPr>
      <w:rPr>
        <w:rFonts w:ascii="Symbol" w:hAnsi="Symbol" w:cs="Times New Roman" w:hint="default"/>
      </w:rPr>
    </w:lvl>
    <w:lvl w:ilvl="4" w:tplc="04090003">
      <w:start w:val="1"/>
      <w:numFmt w:val="bullet"/>
      <w:lvlText w:val="o"/>
      <w:lvlJc w:val="left"/>
      <w:pPr>
        <w:tabs>
          <w:tab w:val="num" w:pos="6300"/>
        </w:tabs>
        <w:ind w:left="6300" w:hanging="360"/>
      </w:pPr>
      <w:rPr>
        <w:rFonts w:ascii="Courier New" w:hAnsi="Courier New" w:cs="Courier New" w:hint="default"/>
      </w:rPr>
    </w:lvl>
    <w:lvl w:ilvl="5" w:tplc="04090005">
      <w:start w:val="1"/>
      <w:numFmt w:val="bullet"/>
      <w:lvlText w:val=""/>
      <w:lvlJc w:val="left"/>
      <w:pPr>
        <w:tabs>
          <w:tab w:val="num" w:pos="7020"/>
        </w:tabs>
        <w:ind w:left="7020" w:hanging="360"/>
      </w:pPr>
      <w:rPr>
        <w:rFonts w:ascii="Wingdings" w:hAnsi="Wingdings" w:cs="Times New Roman" w:hint="default"/>
      </w:rPr>
    </w:lvl>
    <w:lvl w:ilvl="6" w:tplc="04090001">
      <w:start w:val="1"/>
      <w:numFmt w:val="bullet"/>
      <w:lvlText w:val=""/>
      <w:lvlJc w:val="left"/>
      <w:pPr>
        <w:tabs>
          <w:tab w:val="num" w:pos="7740"/>
        </w:tabs>
        <w:ind w:left="7740" w:hanging="360"/>
      </w:pPr>
      <w:rPr>
        <w:rFonts w:ascii="Symbol" w:hAnsi="Symbol" w:cs="Times New Roman" w:hint="default"/>
      </w:rPr>
    </w:lvl>
    <w:lvl w:ilvl="7" w:tplc="04090003">
      <w:start w:val="1"/>
      <w:numFmt w:val="bullet"/>
      <w:lvlText w:val="o"/>
      <w:lvlJc w:val="left"/>
      <w:pPr>
        <w:tabs>
          <w:tab w:val="num" w:pos="8460"/>
        </w:tabs>
        <w:ind w:left="8460" w:hanging="360"/>
      </w:pPr>
      <w:rPr>
        <w:rFonts w:ascii="Courier New" w:hAnsi="Courier New" w:cs="Courier New" w:hint="default"/>
      </w:rPr>
    </w:lvl>
    <w:lvl w:ilvl="8" w:tplc="04090005">
      <w:start w:val="1"/>
      <w:numFmt w:val="bullet"/>
      <w:lvlText w:val=""/>
      <w:lvlJc w:val="left"/>
      <w:pPr>
        <w:tabs>
          <w:tab w:val="num" w:pos="9180"/>
        </w:tabs>
        <w:ind w:left="9180" w:hanging="360"/>
      </w:pPr>
      <w:rPr>
        <w:rFonts w:ascii="Wingdings" w:hAnsi="Wingdings" w:cs="Times New Roman" w:hint="default"/>
      </w:rPr>
    </w:lvl>
  </w:abstractNum>
  <w:abstractNum w:abstractNumId="6" w15:restartNumberingAfterBreak="0">
    <w:nsid w:val="622B4F56"/>
    <w:multiLevelType w:val="hybridMultilevel"/>
    <w:tmpl w:val="2CEE2EF8"/>
    <w:lvl w:ilvl="0" w:tplc="8DD00E5A">
      <w:start w:val="1"/>
      <w:numFmt w:val="decimal"/>
      <w:pStyle w:val="IntroBulletNumb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15:restartNumberingAfterBreak="0">
    <w:nsid w:val="66313A2C"/>
    <w:multiLevelType w:val="hybridMultilevel"/>
    <w:tmpl w:val="4DB8E164"/>
    <w:lvl w:ilvl="0" w:tplc="3362B5D0">
      <w:start w:val="1"/>
      <w:numFmt w:val="bullet"/>
      <w:pStyle w:val="PolicyParaBullet"/>
      <w:lvlText w:val=""/>
      <w:lvlJc w:val="left"/>
      <w:pPr>
        <w:tabs>
          <w:tab w:val="num" w:pos="1620"/>
        </w:tabs>
        <w:ind w:left="1620" w:hanging="360"/>
      </w:pPr>
      <w:rPr>
        <w:rFonts w:ascii="Symbol" w:hAnsi="Symbol"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Times New Roman" w:hint="default"/>
      </w:rPr>
    </w:lvl>
    <w:lvl w:ilvl="3" w:tplc="04090001">
      <w:start w:val="1"/>
      <w:numFmt w:val="bullet"/>
      <w:lvlText w:val=""/>
      <w:lvlJc w:val="left"/>
      <w:pPr>
        <w:tabs>
          <w:tab w:val="num" w:pos="3780"/>
        </w:tabs>
        <w:ind w:left="3780" w:hanging="360"/>
      </w:pPr>
      <w:rPr>
        <w:rFonts w:ascii="Symbol" w:hAnsi="Symbol" w:cs="Times New Roman"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Times New Roman" w:hint="default"/>
      </w:rPr>
    </w:lvl>
    <w:lvl w:ilvl="6" w:tplc="04090001">
      <w:start w:val="1"/>
      <w:numFmt w:val="bullet"/>
      <w:lvlText w:val=""/>
      <w:lvlJc w:val="left"/>
      <w:pPr>
        <w:tabs>
          <w:tab w:val="num" w:pos="5940"/>
        </w:tabs>
        <w:ind w:left="5940" w:hanging="360"/>
      </w:pPr>
      <w:rPr>
        <w:rFonts w:ascii="Symbol" w:hAnsi="Symbol" w:cs="Times New Roman"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Times New Roman" w:hint="default"/>
      </w:rPr>
    </w:lvl>
  </w:abstractNum>
  <w:abstractNum w:abstractNumId="8" w15:restartNumberingAfterBreak="0">
    <w:nsid w:val="69814F05"/>
    <w:multiLevelType w:val="multilevel"/>
    <w:tmpl w:val="C10437F6"/>
    <w:lvl w:ilvl="0">
      <w:start w:val="1"/>
      <w:numFmt w:val="decimal"/>
      <w:lvlText w:val="%1."/>
      <w:lvlJc w:val="left"/>
      <w:pPr>
        <w:tabs>
          <w:tab w:val="num" w:pos="360"/>
        </w:tabs>
        <w:ind w:left="360" w:hanging="360"/>
      </w:pPr>
      <w:rPr>
        <w:rFonts w:ascii="Arial" w:hAnsi="Arial" w:hint="default"/>
      </w:rPr>
    </w:lvl>
    <w:lvl w:ilvl="1">
      <w:start w:val="1"/>
      <w:numFmt w:val="decimalZero"/>
      <w:lvlText w:val="%1.%2"/>
      <w:lvlJc w:val="left"/>
      <w:pPr>
        <w:tabs>
          <w:tab w:val="num" w:pos="1512"/>
        </w:tabs>
        <w:ind w:left="1512" w:hanging="1152"/>
      </w:pPr>
      <w:rPr>
        <w:rFonts w:ascii="Arial" w:hAnsi="Arial" w:hint="default"/>
      </w:rPr>
    </w:lvl>
    <w:lvl w:ilvl="2">
      <w:start w:val="1"/>
      <w:numFmt w:val="lowerLetter"/>
      <w:lvlText w:val="%3."/>
      <w:lvlJc w:val="left"/>
      <w:pPr>
        <w:tabs>
          <w:tab w:val="num" w:pos="1584"/>
        </w:tabs>
        <w:ind w:left="1584" w:hanging="576"/>
      </w:pPr>
      <w:rPr>
        <w:rFonts w:ascii="Arial" w:hAnsi="Arial" w:hint="default"/>
        <w:sz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6F362BC7"/>
    <w:multiLevelType w:val="hybridMultilevel"/>
    <w:tmpl w:val="4676AB04"/>
    <w:lvl w:ilvl="0" w:tplc="4462C25E">
      <w:start w:val="1"/>
      <w:numFmt w:val="bullet"/>
      <w:lvlText w:val=""/>
      <w:lvlJc w:val="left"/>
      <w:pPr>
        <w:tabs>
          <w:tab w:val="num" w:pos="1008"/>
        </w:tabs>
        <w:ind w:left="1008"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B23354"/>
    <w:multiLevelType w:val="hybridMultilevel"/>
    <w:tmpl w:val="B832D6C2"/>
    <w:lvl w:ilvl="0" w:tplc="59EAEBA2">
      <w:start w:val="1"/>
      <w:numFmt w:val="bullet"/>
      <w:pStyle w:val="IntroBullet1"/>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72917A2A"/>
    <w:multiLevelType w:val="hybridMultilevel"/>
    <w:tmpl w:val="3A9E41D2"/>
    <w:lvl w:ilvl="0" w:tplc="44B4FE6E">
      <w:start w:val="1"/>
      <w:numFmt w:val="bullet"/>
      <w:pStyle w:val="PolicyParaANoNumber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num w:numId="1">
    <w:abstractNumId w:val="10"/>
  </w:num>
  <w:num w:numId="2">
    <w:abstractNumId w:val="2"/>
  </w:num>
  <w:num w:numId="3">
    <w:abstractNumId w:val="5"/>
  </w:num>
  <w:num w:numId="4">
    <w:abstractNumId w:val="6"/>
  </w:num>
  <w:num w:numId="5">
    <w:abstractNumId w:val="11"/>
  </w:num>
  <w:num w:numId="6">
    <w:abstractNumId w:val="7"/>
  </w:num>
  <w:num w:numId="7">
    <w:abstractNumId w:val="2"/>
  </w:num>
  <w:num w:numId="8">
    <w:abstractNumId w:val="8"/>
  </w:num>
  <w:num w:numId="9">
    <w:abstractNumId w:val="3"/>
  </w:num>
  <w:num w:numId="10">
    <w:abstractNumId w:val="4"/>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B1"/>
    <w:rsid w:val="00000838"/>
    <w:rsid w:val="00027B23"/>
    <w:rsid w:val="00051AA7"/>
    <w:rsid w:val="000C5C8E"/>
    <w:rsid w:val="001B1F14"/>
    <w:rsid w:val="001D7682"/>
    <w:rsid w:val="001F708A"/>
    <w:rsid w:val="00224BE2"/>
    <w:rsid w:val="00263B5A"/>
    <w:rsid w:val="002911B1"/>
    <w:rsid w:val="002B1F2B"/>
    <w:rsid w:val="00302D8B"/>
    <w:rsid w:val="00307F35"/>
    <w:rsid w:val="003635F3"/>
    <w:rsid w:val="003F7A67"/>
    <w:rsid w:val="00412ACC"/>
    <w:rsid w:val="0044061C"/>
    <w:rsid w:val="004F37F4"/>
    <w:rsid w:val="00553BC7"/>
    <w:rsid w:val="005739C2"/>
    <w:rsid w:val="005F61DB"/>
    <w:rsid w:val="006459AD"/>
    <w:rsid w:val="006A1CC4"/>
    <w:rsid w:val="006C3F84"/>
    <w:rsid w:val="00716444"/>
    <w:rsid w:val="007D018E"/>
    <w:rsid w:val="007F2A72"/>
    <w:rsid w:val="007F6323"/>
    <w:rsid w:val="008343F9"/>
    <w:rsid w:val="00854CCE"/>
    <w:rsid w:val="00855009"/>
    <w:rsid w:val="008A44F6"/>
    <w:rsid w:val="008F1550"/>
    <w:rsid w:val="0090327E"/>
    <w:rsid w:val="009276D5"/>
    <w:rsid w:val="00996083"/>
    <w:rsid w:val="009C38F6"/>
    <w:rsid w:val="009F07BD"/>
    <w:rsid w:val="00A24818"/>
    <w:rsid w:val="00A82A10"/>
    <w:rsid w:val="00A9563A"/>
    <w:rsid w:val="00AF5868"/>
    <w:rsid w:val="00B14B9B"/>
    <w:rsid w:val="00B5136F"/>
    <w:rsid w:val="00B53BD2"/>
    <w:rsid w:val="00BB39B5"/>
    <w:rsid w:val="00C43636"/>
    <w:rsid w:val="00CC03FC"/>
    <w:rsid w:val="00CC673E"/>
    <w:rsid w:val="00CD6A47"/>
    <w:rsid w:val="00CE2893"/>
    <w:rsid w:val="00D60AEE"/>
    <w:rsid w:val="00D8275D"/>
    <w:rsid w:val="00DB4C8B"/>
    <w:rsid w:val="00E41E24"/>
    <w:rsid w:val="00EA2840"/>
    <w:rsid w:val="00EB524E"/>
    <w:rsid w:val="00ED497C"/>
    <w:rsid w:val="00EE405A"/>
    <w:rsid w:val="00F64D6A"/>
    <w:rsid w:val="00F72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E7309"/>
  <w15:docId w15:val="{1F2E235F-59C3-4A13-A976-93F555F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7F4"/>
    <w:rPr>
      <w:sz w:val="24"/>
      <w:szCs w:val="24"/>
    </w:rPr>
  </w:style>
  <w:style w:type="paragraph" w:styleId="Heading1">
    <w:name w:val="heading 1"/>
    <w:basedOn w:val="Normal"/>
    <w:next w:val="Normal"/>
    <w:qFormat/>
    <w:rsid w:val="004F37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F37F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F37F4"/>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outlineLvl w:val="2"/>
    </w:pPr>
    <w:rPr>
      <w:rFonts w:ascii="Arial" w:hAnsi="Arial"/>
      <w:b/>
      <w:sz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ullet1">
    <w:name w:val="Intro_Bullet 1"/>
    <w:basedOn w:val="Normal"/>
    <w:rsid w:val="004F37F4"/>
    <w:pPr>
      <w:widowControl w:val="0"/>
      <w:numPr>
        <w:numId w:val="1"/>
      </w:numPr>
      <w:tabs>
        <w:tab w:val="left" w:pos="-1440"/>
        <w:tab w:val="num" w:pos="1080"/>
      </w:tabs>
      <w:autoSpaceDE w:val="0"/>
      <w:autoSpaceDN w:val="0"/>
      <w:adjustRightInd w:val="0"/>
      <w:ind w:left="1080"/>
      <w:jc w:val="both"/>
    </w:pPr>
    <w:rPr>
      <w:lang w:val="en-GB"/>
    </w:rPr>
  </w:style>
  <w:style w:type="paragraph" w:customStyle="1" w:styleId="IntroBullet2A">
    <w:name w:val="Intro_Bullet 2 A"/>
    <w:basedOn w:val="Normal"/>
    <w:rsid w:val="004F37F4"/>
    <w:pPr>
      <w:widowControl w:val="0"/>
      <w:tabs>
        <w:tab w:val="left" w:pos="-1080"/>
        <w:tab w:val="left" w:pos="-720"/>
        <w:tab w:val="left" w:pos="0"/>
        <w:tab w:val="left" w:pos="900"/>
        <w:tab w:val="left" w:pos="1350"/>
        <w:tab w:val="left" w:pos="2340"/>
      </w:tabs>
      <w:autoSpaceDE w:val="0"/>
      <w:autoSpaceDN w:val="0"/>
      <w:adjustRightInd w:val="0"/>
      <w:spacing w:before="60" w:after="60"/>
      <w:ind w:left="2340" w:hanging="720"/>
      <w:jc w:val="both"/>
    </w:pPr>
    <w:rPr>
      <w:lang w:val="en-GB"/>
    </w:rPr>
  </w:style>
  <w:style w:type="paragraph" w:customStyle="1" w:styleId="IntroBullet2">
    <w:name w:val="Intro_Bullet 2"/>
    <w:basedOn w:val="IntroBullet2A"/>
    <w:rsid w:val="004F37F4"/>
    <w:pPr>
      <w:numPr>
        <w:numId w:val="7"/>
      </w:numPr>
      <w:tabs>
        <w:tab w:val="clear" w:pos="-1080"/>
        <w:tab w:val="clear" w:pos="-720"/>
        <w:tab w:val="clear" w:pos="0"/>
        <w:tab w:val="clear" w:pos="900"/>
        <w:tab w:val="clear" w:pos="1350"/>
        <w:tab w:val="clear" w:pos="2340"/>
        <w:tab w:val="clear" w:pos="3420"/>
        <w:tab w:val="left" w:pos="1620"/>
      </w:tabs>
      <w:ind w:left="1620" w:hanging="540"/>
    </w:pPr>
  </w:style>
  <w:style w:type="paragraph" w:customStyle="1" w:styleId="IntroBullet2Para">
    <w:name w:val="Intro_Bullet 2 Para"/>
    <w:basedOn w:val="Normal"/>
    <w:rsid w:val="004F37F4"/>
    <w:pPr>
      <w:ind w:left="1620"/>
      <w:jc w:val="both"/>
    </w:pPr>
    <w:rPr>
      <w:lang w:val="en-GB"/>
    </w:rPr>
  </w:style>
  <w:style w:type="paragraph" w:customStyle="1" w:styleId="IntroBullet2Special">
    <w:name w:val="Intro_Bullet 2_Special"/>
    <w:basedOn w:val="IntroBullet2"/>
    <w:rsid w:val="004F37F4"/>
    <w:pPr>
      <w:numPr>
        <w:numId w:val="3"/>
      </w:numPr>
      <w:tabs>
        <w:tab w:val="clear" w:pos="3420"/>
        <w:tab w:val="num" w:pos="1620"/>
      </w:tabs>
      <w:spacing w:before="120"/>
      <w:ind w:left="1627" w:hanging="547"/>
    </w:pPr>
  </w:style>
  <w:style w:type="paragraph" w:customStyle="1" w:styleId="IntroBullet3">
    <w:name w:val="Intro_Bullet 3"/>
    <w:basedOn w:val="IntroBullet2"/>
    <w:rsid w:val="004F37F4"/>
    <w:pPr>
      <w:numPr>
        <w:numId w:val="0"/>
      </w:numPr>
      <w:tabs>
        <w:tab w:val="num" w:pos="3420"/>
      </w:tabs>
      <w:ind w:left="2520" w:hanging="540"/>
    </w:pPr>
  </w:style>
  <w:style w:type="paragraph" w:customStyle="1" w:styleId="IntroBulletA">
    <w:name w:val="Intro_Bullet A"/>
    <w:basedOn w:val="Normal"/>
    <w:rsid w:val="004F37F4"/>
    <w:pPr>
      <w:widowControl w:val="0"/>
      <w:tabs>
        <w:tab w:val="left" w:pos="-1440"/>
        <w:tab w:val="left" w:pos="1620"/>
      </w:tabs>
      <w:autoSpaceDE w:val="0"/>
      <w:autoSpaceDN w:val="0"/>
      <w:adjustRightInd w:val="0"/>
      <w:spacing w:before="60"/>
      <w:ind w:left="1627" w:hanging="547"/>
      <w:jc w:val="both"/>
    </w:pPr>
    <w:rPr>
      <w:lang w:val="en-GB"/>
    </w:rPr>
  </w:style>
  <w:style w:type="paragraph" w:customStyle="1" w:styleId="IntroBulletAPara">
    <w:name w:val="Intro_Bullet A Para"/>
    <w:basedOn w:val="Normal"/>
    <w:rsid w:val="004F37F4"/>
    <w:pPr>
      <w:widowControl w:val="0"/>
      <w:autoSpaceDE w:val="0"/>
      <w:autoSpaceDN w:val="0"/>
      <w:adjustRightInd w:val="0"/>
      <w:ind w:left="1620"/>
      <w:jc w:val="both"/>
    </w:pPr>
    <w:rPr>
      <w:lang w:val="en-GB"/>
    </w:rPr>
  </w:style>
  <w:style w:type="paragraph" w:customStyle="1" w:styleId="IntroBulletAi">
    <w:name w:val="Intro_Bullet A (i)"/>
    <w:basedOn w:val="IntroBulletAPara"/>
    <w:rsid w:val="004F37F4"/>
    <w:pPr>
      <w:ind w:left="2160" w:hanging="540"/>
    </w:pPr>
  </w:style>
  <w:style w:type="paragraph" w:customStyle="1" w:styleId="IntroBulletPara">
    <w:name w:val="Intro_Bullet Para"/>
    <w:basedOn w:val="Normal"/>
    <w:rsid w:val="004F37F4"/>
    <w:pPr>
      <w:widowControl w:val="0"/>
      <w:autoSpaceDE w:val="0"/>
      <w:autoSpaceDN w:val="0"/>
      <w:adjustRightInd w:val="0"/>
      <w:ind w:left="1080"/>
      <w:jc w:val="both"/>
    </w:pPr>
    <w:rPr>
      <w:lang w:val="en-GB"/>
    </w:rPr>
  </w:style>
  <w:style w:type="paragraph" w:customStyle="1" w:styleId="IntroBulletNumber">
    <w:name w:val="Intro_Bullet Number"/>
    <w:basedOn w:val="IntroBulletPara"/>
    <w:rsid w:val="004F37F4"/>
    <w:pPr>
      <w:numPr>
        <w:numId w:val="4"/>
      </w:numPr>
      <w:tabs>
        <w:tab w:val="num" w:pos="1620"/>
      </w:tabs>
      <w:ind w:left="1620" w:hanging="540"/>
    </w:pPr>
  </w:style>
  <w:style w:type="paragraph" w:customStyle="1" w:styleId="IntroBullet2A0">
    <w:name w:val="Intro_Bullet2 A"/>
    <w:basedOn w:val="Normal"/>
    <w:rsid w:val="004F37F4"/>
    <w:pPr>
      <w:widowControl w:val="0"/>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120" w:after="120" w:line="287" w:lineRule="atLeast"/>
      <w:ind w:left="2880" w:hanging="360"/>
    </w:pPr>
    <w:rPr>
      <w:lang w:val="en-CA"/>
    </w:rPr>
  </w:style>
  <w:style w:type="paragraph" w:customStyle="1" w:styleId="IntroHead2">
    <w:name w:val="Intro_Head 2"/>
    <w:basedOn w:val="Heading2"/>
    <w:rsid w:val="004F37F4"/>
    <w:pPr>
      <w:keepNext w:val="0"/>
      <w:widowControl w:val="0"/>
      <w:autoSpaceDE w:val="0"/>
      <w:autoSpaceDN w:val="0"/>
      <w:adjustRightInd w:val="0"/>
      <w:spacing w:before="0" w:after="0"/>
      <w:jc w:val="both"/>
    </w:pPr>
    <w:rPr>
      <w:rFonts w:ascii="Times New Roman" w:hAnsi="Times New Roman" w:cs="Times New Roman"/>
      <w:i w:val="0"/>
      <w:iCs w:val="0"/>
      <w:lang w:val="en-GB"/>
    </w:rPr>
  </w:style>
  <w:style w:type="paragraph" w:customStyle="1" w:styleId="IntroHead1">
    <w:name w:val="Intro_Head1"/>
    <w:basedOn w:val="Normal"/>
    <w:rsid w:val="004F37F4"/>
    <w:pPr>
      <w:widowControl w:val="0"/>
      <w:tabs>
        <w:tab w:val="center" w:pos="4615"/>
      </w:tabs>
      <w:autoSpaceDE w:val="0"/>
      <w:autoSpaceDN w:val="0"/>
      <w:adjustRightInd w:val="0"/>
      <w:jc w:val="center"/>
    </w:pPr>
    <w:rPr>
      <w:b/>
      <w:bCs/>
      <w:sz w:val="36"/>
      <w:szCs w:val="36"/>
      <w:lang w:val="en-GB"/>
    </w:rPr>
  </w:style>
  <w:style w:type="paragraph" w:customStyle="1" w:styleId="IntroPara">
    <w:name w:val="Intro_Para"/>
    <w:basedOn w:val="Normal"/>
    <w:rsid w:val="004F37F4"/>
    <w:pPr>
      <w:widowControl w:val="0"/>
      <w:autoSpaceDE w:val="0"/>
      <w:autoSpaceDN w:val="0"/>
      <w:adjustRightInd w:val="0"/>
      <w:ind w:left="720"/>
      <w:jc w:val="both"/>
    </w:pPr>
    <w:rPr>
      <w:lang w:val="en-GB"/>
    </w:rPr>
  </w:style>
  <w:style w:type="paragraph" w:customStyle="1" w:styleId="PolicyPara">
    <w:name w:val="Policy Para"/>
    <w:basedOn w:val="BodyTextIndent"/>
    <w:rsid w:val="004F37F4"/>
    <w:pPr>
      <w:widowControl w:val="0"/>
      <w:tabs>
        <w:tab w:val="left" w:pos="-1080"/>
        <w:tab w:val="left" w:pos="-720"/>
        <w:tab w:val="left" w:pos="1710"/>
        <w:tab w:val="left" w:pos="2880"/>
      </w:tabs>
      <w:autoSpaceDE w:val="0"/>
      <w:autoSpaceDN w:val="0"/>
      <w:adjustRightInd w:val="0"/>
      <w:spacing w:before="60" w:after="0"/>
      <w:ind w:left="907"/>
    </w:pPr>
    <w:rPr>
      <w:rFonts w:ascii="Arial" w:hAnsi="Arial" w:cs="Arial"/>
      <w:sz w:val="20"/>
      <w:szCs w:val="20"/>
      <w:lang w:val="en-GB"/>
    </w:rPr>
  </w:style>
  <w:style w:type="paragraph" w:styleId="BodyTextIndent">
    <w:name w:val="Body Text Indent"/>
    <w:basedOn w:val="Normal"/>
    <w:semiHidden/>
    <w:rsid w:val="004F37F4"/>
    <w:pPr>
      <w:spacing w:after="120"/>
      <w:ind w:left="283"/>
    </w:pPr>
  </w:style>
  <w:style w:type="paragraph" w:customStyle="1" w:styleId="PolicyParaANoNumberBullet">
    <w:name w:val="Policy Para A No Number Bullet"/>
    <w:basedOn w:val="Normal"/>
    <w:rsid w:val="004F37F4"/>
    <w:pPr>
      <w:widowControl w:val="0"/>
      <w:numPr>
        <w:numId w:val="5"/>
      </w:numPr>
      <w:tabs>
        <w:tab w:val="clear" w:pos="2160"/>
        <w:tab w:val="left" w:pos="-1440"/>
        <w:tab w:val="left" w:pos="1980"/>
      </w:tabs>
      <w:autoSpaceDE w:val="0"/>
      <w:autoSpaceDN w:val="0"/>
      <w:adjustRightInd w:val="0"/>
      <w:ind w:left="1980" w:hanging="540"/>
    </w:pPr>
    <w:rPr>
      <w:rFonts w:ascii="Arial" w:hAnsi="Arial" w:cs="Arial"/>
      <w:lang w:val="en-GB"/>
    </w:rPr>
  </w:style>
  <w:style w:type="paragraph" w:customStyle="1" w:styleId="PolicyParaAwithNoNumber">
    <w:name w:val="Policy Para A with  No Number"/>
    <w:basedOn w:val="Normal"/>
    <w:rsid w:val="004F37F4"/>
    <w:pPr>
      <w:widowControl w:val="0"/>
      <w:tabs>
        <w:tab w:val="left" w:pos="-1080"/>
        <w:tab w:val="left" w:pos="-720"/>
        <w:tab w:val="left" w:pos="1440"/>
        <w:tab w:val="left" w:pos="1710"/>
        <w:tab w:val="left" w:pos="2880"/>
      </w:tabs>
      <w:autoSpaceDE w:val="0"/>
      <w:autoSpaceDN w:val="0"/>
      <w:adjustRightInd w:val="0"/>
      <w:spacing w:before="60"/>
      <w:ind w:left="1454" w:hanging="547"/>
    </w:pPr>
    <w:rPr>
      <w:rFonts w:ascii="Arial" w:hAnsi="Arial" w:cs="Arial"/>
      <w:sz w:val="20"/>
      <w:szCs w:val="20"/>
      <w:lang w:val="en-GB"/>
    </w:rPr>
  </w:style>
  <w:style w:type="paragraph" w:customStyle="1" w:styleId="PolicyParaAwithNumber">
    <w:name w:val="Policy Para A with Number"/>
    <w:basedOn w:val="Normal"/>
    <w:rsid w:val="004F37F4"/>
    <w:pPr>
      <w:widowControl w:val="0"/>
      <w:tabs>
        <w:tab w:val="left" w:pos="-1080"/>
        <w:tab w:val="left" w:pos="-720"/>
        <w:tab w:val="left" w:pos="18"/>
        <w:tab w:val="left" w:pos="900"/>
        <w:tab w:val="left" w:pos="1440"/>
        <w:tab w:val="left" w:pos="1710"/>
        <w:tab w:val="left" w:pos="2880"/>
      </w:tabs>
      <w:autoSpaceDE w:val="0"/>
      <w:autoSpaceDN w:val="0"/>
      <w:adjustRightInd w:val="0"/>
      <w:ind w:left="1440" w:hanging="1440"/>
    </w:pPr>
    <w:rPr>
      <w:rFonts w:ascii="Arial" w:hAnsi="Arial" w:cs="Arial"/>
      <w:sz w:val="20"/>
      <w:szCs w:val="20"/>
      <w:lang w:val="en-GB"/>
    </w:rPr>
  </w:style>
  <w:style w:type="paragraph" w:customStyle="1" w:styleId="PolicyParawithNumber">
    <w:name w:val="Policy Para with Number"/>
    <w:basedOn w:val="Normal"/>
    <w:rsid w:val="004F37F4"/>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sz w:val="20"/>
      <w:szCs w:val="20"/>
      <w:lang w:val="en-GB"/>
    </w:rPr>
  </w:style>
  <w:style w:type="paragraph" w:customStyle="1" w:styleId="PolicySub-Para">
    <w:name w:val="Policy Sub-Para"/>
    <w:basedOn w:val="Normal"/>
    <w:rsid w:val="004F37F4"/>
    <w:pPr>
      <w:widowControl w:val="0"/>
      <w:tabs>
        <w:tab w:val="left" w:pos="-1440"/>
      </w:tabs>
      <w:autoSpaceDE w:val="0"/>
      <w:autoSpaceDN w:val="0"/>
      <w:adjustRightInd w:val="0"/>
      <w:ind w:left="2160" w:hanging="720"/>
    </w:pPr>
    <w:rPr>
      <w:rFonts w:ascii="Arial" w:hAnsi="Arial" w:cs="Arial"/>
      <w:sz w:val="20"/>
      <w:szCs w:val="20"/>
      <w:lang w:val="en-GB"/>
    </w:rPr>
  </w:style>
  <w:style w:type="paragraph" w:customStyle="1" w:styleId="PolicySub-SubPara">
    <w:name w:val="Policy Sub-Sub Para"/>
    <w:basedOn w:val="PolicyParaAwithNoNumber"/>
    <w:rsid w:val="004F37F4"/>
    <w:pPr>
      <w:tabs>
        <w:tab w:val="clear" w:pos="1440"/>
        <w:tab w:val="clear" w:pos="2880"/>
        <w:tab w:val="left" w:pos="2700"/>
      </w:tabs>
      <w:ind w:left="2700"/>
    </w:pPr>
  </w:style>
  <w:style w:type="paragraph" w:customStyle="1" w:styleId="PolicyHead1">
    <w:name w:val="Policy_Head 1"/>
    <w:basedOn w:val="Heading1"/>
    <w:rsid w:val="004F37F4"/>
    <w:pPr>
      <w:widowControl w:val="0"/>
      <w:tabs>
        <w:tab w:val="left" w:pos="-1080"/>
        <w:tab w:val="left" w:pos="-720"/>
        <w:tab w:val="left" w:pos="18"/>
        <w:tab w:val="left" w:pos="900"/>
        <w:tab w:val="left" w:pos="1260"/>
        <w:tab w:val="left" w:pos="1710"/>
        <w:tab w:val="left" w:pos="2880"/>
      </w:tabs>
      <w:autoSpaceDE w:val="0"/>
      <w:autoSpaceDN w:val="0"/>
      <w:adjustRightInd w:val="0"/>
      <w:spacing w:before="0" w:after="0"/>
    </w:pPr>
    <w:rPr>
      <w:kern w:val="0"/>
      <w:sz w:val="20"/>
      <w:szCs w:val="20"/>
      <w:lang w:val="en-GB"/>
    </w:rPr>
  </w:style>
  <w:style w:type="paragraph" w:customStyle="1" w:styleId="PolicyHead2">
    <w:name w:val="Policy_Head 2"/>
    <w:basedOn w:val="Normal"/>
    <w:rsid w:val="004F37F4"/>
    <w:pPr>
      <w:widowControl w:val="0"/>
      <w:tabs>
        <w:tab w:val="left" w:pos="-1080"/>
        <w:tab w:val="left" w:pos="-720"/>
        <w:tab w:val="left" w:pos="18"/>
        <w:tab w:val="left" w:pos="900"/>
        <w:tab w:val="left" w:pos="1260"/>
        <w:tab w:val="left" w:pos="1710"/>
        <w:tab w:val="left" w:pos="2880"/>
      </w:tabs>
      <w:autoSpaceDE w:val="0"/>
      <w:autoSpaceDN w:val="0"/>
      <w:adjustRightInd w:val="0"/>
      <w:ind w:left="900" w:hanging="900"/>
    </w:pPr>
    <w:rPr>
      <w:rFonts w:ascii="Arial" w:hAnsi="Arial" w:cs="Arial"/>
      <w:sz w:val="20"/>
      <w:szCs w:val="20"/>
      <w:lang w:val="en-GB"/>
    </w:rPr>
  </w:style>
  <w:style w:type="paragraph" w:customStyle="1" w:styleId="PolicyParaBullet">
    <w:name w:val="Policy_Para Bullet"/>
    <w:basedOn w:val="PolicyParaAwithNoNumber"/>
    <w:rsid w:val="004F37F4"/>
    <w:pPr>
      <w:numPr>
        <w:numId w:val="6"/>
      </w:numPr>
      <w:tabs>
        <w:tab w:val="clear" w:pos="1620"/>
        <w:tab w:val="num" w:pos="1440"/>
      </w:tabs>
      <w:ind w:left="1440" w:hanging="540"/>
    </w:pPr>
  </w:style>
  <w:style w:type="paragraph" w:styleId="Subtitle">
    <w:name w:val="Subtitle"/>
    <w:basedOn w:val="Normal"/>
    <w:qFormat/>
    <w:rsid w:val="004F37F4"/>
    <w:pPr>
      <w:overflowPunct w:val="0"/>
      <w:autoSpaceDE w:val="0"/>
      <w:autoSpaceDN w:val="0"/>
      <w:adjustRightInd w:val="0"/>
      <w:jc w:val="center"/>
      <w:textAlignment w:val="baseline"/>
    </w:pPr>
    <w:rPr>
      <w:rFonts w:ascii="Arial" w:hAnsi="Arial" w:cs="Arial"/>
      <w:b/>
      <w:bCs/>
      <w:lang w:val="en-CA"/>
    </w:rPr>
  </w:style>
  <w:style w:type="paragraph" w:styleId="Footer">
    <w:name w:val="footer"/>
    <w:basedOn w:val="Normal"/>
    <w:semiHidden/>
    <w:rsid w:val="004F37F4"/>
    <w:pPr>
      <w:tabs>
        <w:tab w:val="center" w:pos="4320"/>
        <w:tab w:val="right" w:pos="8640"/>
      </w:tabs>
      <w:overflowPunct w:val="0"/>
      <w:autoSpaceDE w:val="0"/>
      <w:autoSpaceDN w:val="0"/>
      <w:adjustRightInd w:val="0"/>
      <w:textAlignment w:val="baseline"/>
    </w:pPr>
    <w:rPr>
      <w:szCs w:val="20"/>
      <w:lang w:val="en-CA"/>
    </w:rPr>
  </w:style>
  <w:style w:type="paragraph" w:styleId="Header">
    <w:name w:val="header"/>
    <w:basedOn w:val="Normal"/>
    <w:semiHidden/>
    <w:rsid w:val="004F37F4"/>
    <w:pPr>
      <w:tabs>
        <w:tab w:val="center" w:pos="4320"/>
        <w:tab w:val="right" w:pos="8640"/>
      </w:tabs>
    </w:pPr>
  </w:style>
  <w:style w:type="character" w:styleId="PageNumber">
    <w:name w:val="page number"/>
    <w:basedOn w:val="DefaultParagraphFont"/>
    <w:semiHidden/>
    <w:rsid w:val="004F37F4"/>
  </w:style>
  <w:style w:type="paragraph" w:styleId="BodyText2">
    <w:name w:val="Body Text 2"/>
    <w:basedOn w:val="Normal"/>
    <w:semiHidden/>
    <w:rsid w:val="004F37F4"/>
    <w:pPr>
      <w:overflowPunct w:val="0"/>
      <w:autoSpaceDE w:val="0"/>
      <w:autoSpaceDN w:val="0"/>
      <w:adjustRightInd w:val="0"/>
      <w:textAlignment w:val="baseline"/>
    </w:pPr>
    <w:rPr>
      <w:rFonts w:ascii="Arial" w:hAnsi="Arial" w:cs="Arial"/>
      <w:i/>
      <w:iCs/>
      <w:szCs w:val="20"/>
      <w:lang w:val="en-CA"/>
    </w:rPr>
  </w:style>
  <w:style w:type="paragraph" w:customStyle="1" w:styleId="FAPPPolicyPara">
    <w:name w:val="FAPP_Policy Para"/>
    <w:basedOn w:val="Normal"/>
    <w:rsid w:val="004F37F4"/>
    <w:pPr>
      <w:widowControl w:val="0"/>
      <w:tabs>
        <w:tab w:val="left" w:pos="-1080"/>
        <w:tab w:val="left" w:pos="-720"/>
        <w:tab w:val="left" w:pos="1710"/>
        <w:tab w:val="left" w:pos="2880"/>
      </w:tabs>
      <w:autoSpaceDE w:val="0"/>
      <w:autoSpaceDN w:val="0"/>
      <w:adjustRightInd w:val="0"/>
      <w:spacing w:before="60"/>
      <w:ind w:left="907"/>
    </w:pPr>
    <w:rPr>
      <w:rFonts w:ascii="Arial" w:hAnsi="Arial" w:cs="Arial"/>
      <w:sz w:val="22"/>
      <w:szCs w:val="20"/>
      <w:lang w:val="en-GB"/>
    </w:rPr>
  </w:style>
  <w:style w:type="paragraph" w:customStyle="1" w:styleId="FAPPPolicyParaAwithNoNumber">
    <w:name w:val="FAPP_Policy Para A with  No Number"/>
    <w:basedOn w:val="PolicyParaAwithNoNumber"/>
    <w:rsid w:val="004F37F4"/>
    <w:pPr>
      <w:spacing w:after="60"/>
    </w:pPr>
    <w:rPr>
      <w:sz w:val="22"/>
    </w:rPr>
  </w:style>
  <w:style w:type="paragraph" w:customStyle="1" w:styleId="FAPPPolicyParawithNumber">
    <w:name w:val="FAPP_Policy Para with Number"/>
    <w:basedOn w:val="Normal"/>
    <w:rsid w:val="004F37F4"/>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sz w:val="22"/>
      <w:szCs w:val="20"/>
      <w:lang w:val="en-GB"/>
    </w:rPr>
  </w:style>
  <w:style w:type="paragraph" w:customStyle="1" w:styleId="FAPPPolicySub-Para">
    <w:name w:val="FAPP_Policy Sub-Para"/>
    <w:basedOn w:val="Normal"/>
    <w:rsid w:val="004F37F4"/>
    <w:pPr>
      <w:widowControl w:val="0"/>
      <w:tabs>
        <w:tab w:val="left" w:pos="-1440"/>
      </w:tabs>
      <w:autoSpaceDE w:val="0"/>
      <w:autoSpaceDN w:val="0"/>
      <w:adjustRightInd w:val="0"/>
      <w:ind w:left="2160" w:hanging="540"/>
    </w:pPr>
    <w:rPr>
      <w:rFonts w:ascii="Arial" w:hAnsi="Arial" w:cs="Arial"/>
      <w:sz w:val="22"/>
      <w:szCs w:val="20"/>
      <w:lang w:val="en-GB"/>
    </w:rPr>
  </w:style>
  <w:style w:type="paragraph" w:customStyle="1" w:styleId="FAPPPolicyHead1">
    <w:name w:val="FAPP_Policy_Head 1"/>
    <w:basedOn w:val="Normal"/>
    <w:rsid w:val="004F37F4"/>
    <w:pPr>
      <w:keepNext/>
      <w:widowControl w:val="0"/>
      <w:tabs>
        <w:tab w:val="left" w:pos="-1080"/>
        <w:tab w:val="left" w:pos="-720"/>
        <w:tab w:val="left" w:pos="18"/>
        <w:tab w:val="left" w:pos="900"/>
        <w:tab w:val="left" w:pos="1260"/>
        <w:tab w:val="left" w:pos="1710"/>
        <w:tab w:val="left" w:pos="2880"/>
      </w:tabs>
      <w:autoSpaceDE w:val="0"/>
      <w:autoSpaceDN w:val="0"/>
      <w:adjustRightInd w:val="0"/>
      <w:outlineLvl w:val="0"/>
    </w:pPr>
    <w:rPr>
      <w:rFonts w:ascii="Arial" w:hAnsi="Arial" w:cs="Arial"/>
      <w:b/>
      <w:bCs/>
      <w:sz w:val="22"/>
      <w:szCs w:val="20"/>
      <w:lang w:val="en-GB"/>
    </w:rPr>
  </w:style>
  <w:style w:type="paragraph" w:customStyle="1" w:styleId="FAAPPolicyParaBullet">
    <w:name w:val="FAAP_Policy_Para Bullet"/>
    <w:basedOn w:val="PolicyParaBullet"/>
    <w:rsid w:val="004F37F4"/>
    <w:rPr>
      <w:sz w:val="22"/>
    </w:rPr>
  </w:style>
  <w:style w:type="paragraph" w:customStyle="1" w:styleId="FHB">
    <w:name w:val="FHB"/>
    <w:basedOn w:val="Normal"/>
    <w:rsid w:val="004F37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pPr>
    <w:rPr>
      <w:rFonts w:ascii="Arial" w:hAnsi="Arial"/>
      <w:b/>
      <w:sz w:val="20"/>
      <w:szCs w:val="20"/>
      <w:lang w:val="en-CA"/>
    </w:rPr>
  </w:style>
  <w:style w:type="paragraph" w:customStyle="1" w:styleId="FHC">
    <w:name w:val="FHC"/>
    <w:basedOn w:val="Normal"/>
    <w:rsid w:val="004F37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pPr>
    <w:rPr>
      <w:rFonts w:ascii="Arial" w:hAnsi="Arial"/>
      <w:sz w:val="20"/>
      <w:szCs w:val="20"/>
      <w:lang w:val="en-CA"/>
    </w:rPr>
  </w:style>
  <w:style w:type="paragraph" w:customStyle="1" w:styleId="FHL">
    <w:name w:val="FHL"/>
    <w:basedOn w:val="Normal"/>
    <w:rsid w:val="004F37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pPr>
    <w:rPr>
      <w:rFonts w:ascii="Arial" w:hAnsi="Arial"/>
      <w:sz w:val="20"/>
      <w:szCs w:val="20"/>
      <w:lang w:val="en-CA"/>
    </w:rPr>
  </w:style>
  <w:style w:type="paragraph" w:styleId="BalloonText">
    <w:name w:val="Balloon Text"/>
    <w:basedOn w:val="Normal"/>
    <w:semiHidden/>
    <w:rsid w:val="004F37F4"/>
    <w:rPr>
      <w:rFonts w:ascii="Tahoma" w:hAnsi="Tahoma" w:cs="Tahoma"/>
      <w:sz w:val="16"/>
      <w:szCs w:val="16"/>
    </w:rPr>
  </w:style>
  <w:style w:type="character" w:styleId="CommentReference">
    <w:name w:val="annotation reference"/>
    <w:basedOn w:val="DefaultParagraphFont"/>
    <w:semiHidden/>
    <w:rsid w:val="004F37F4"/>
    <w:rPr>
      <w:sz w:val="16"/>
      <w:szCs w:val="16"/>
    </w:rPr>
  </w:style>
  <w:style w:type="paragraph" w:styleId="CommentText">
    <w:name w:val="annotation text"/>
    <w:basedOn w:val="Normal"/>
    <w:semiHidden/>
    <w:rsid w:val="004F37F4"/>
    <w:rPr>
      <w:sz w:val="20"/>
      <w:szCs w:val="20"/>
    </w:rPr>
  </w:style>
  <w:style w:type="paragraph" w:styleId="CommentSubject">
    <w:name w:val="annotation subject"/>
    <w:basedOn w:val="CommentText"/>
    <w:next w:val="CommentText"/>
    <w:semiHidden/>
    <w:rsid w:val="004F37F4"/>
    <w:rPr>
      <w:b/>
      <w:bCs/>
    </w:rPr>
  </w:style>
  <w:style w:type="paragraph" w:styleId="ListParagraph">
    <w:name w:val="List Paragraph"/>
    <w:basedOn w:val="Normal"/>
    <w:uiPriority w:val="34"/>
    <w:qFormat/>
    <w:rsid w:val="002911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1C5A1-C846-4ABE-A91B-8477E87A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609</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2.03 - Company Credit Cards</vt:lpstr>
    </vt:vector>
  </TitlesOfParts>
  <Company>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2.03 - Company Credit Cards</dc:title>
  <dc:subject>Policy</dc:subject>
  <dc:creator>Mickey Kovacs</dc:creator>
  <cp:keywords/>
  <dc:description/>
  <cp:lastModifiedBy>Jodi Skipper</cp:lastModifiedBy>
  <cp:revision>4</cp:revision>
  <cp:lastPrinted>2011-06-02T19:50:00Z</cp:lastPrinted>
  <dcterms:created xsi:type="dcterms:W3CDTF">2021-04-16T19:34:00Z</dcterms:created>
  <dcterms:modified xsi:type="dcterms:W3CDTF">2024-04-15T18:04:00Z</dcterms:modified>
  <cp:category>The Purchasing Cycle</cp:category>
</cp:coreProperties>
</file>