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E50" w:rsidRDefault="00DD6E50">
      <w:pPr>
        <w:pStyle w:val="FAPPPolicyHead1"/>
      </w:pPr>
      <w:r>
        <w:t>1</w:t>
      </w:r>
      <w:r>
        <w:tab/>
        <w:t>POLICY</w:t>
      </w:r>
    </w:p>
    <w:p w:rsidR="00DD6E50" w:rsidRDefault="00DD6E50">
      <w:pPr>
        <w:pStyle w:val="FAPPPolicyParawithNumber"/>
      </w:pPr>
      <w:r>
        <w:t>1.01</w:t>
      </w:r>
      <w:r>
        <w:tab/>
        <w:t>All employees shall obtain appropriate authorizatio</w:t>
      </w:r>
      <w:r w:rsidR="0047736F">
        <w:t>n for any expenditure of Agency</w:t>
      </w:r>
      <w:r>
        <w:t xml:space="preserve"> funds.</w:t>
      </w:r>
    </w:p>
    <w:p w:rsidR="00DD6E50" w:rsidRDefault="00DD6E50">
      <w:pPr>
        <w:pStyle w:val="FAPPPolicyParawithNumber"/>
      </w:pPr>
    </w:p>
    <w:p w:rsidR="00DD6E50" w:rsidRDefault="00DD6E50">
      <w:pPr>
        <w:pStyle w:val="FAPPPolicyParawithNumber"/>
      </w:pPr>
    </w:p>
    <w:p w:rsidR="00DD6E50" w:rsidRDefault="00DD6E50">
      <w:pPr>
        <w:pStyle w:val="FAPPPolicyHead1"/>
      </w:pPr>
      <w:r>
        <w:t>2</w:t>
      </w:r>
      <w:r>
        <w:tab/>
        <w:t>PURPOSE</w:t>
      </w:r>
    </w:p>
    <w:p w:rsidR="00DD6E50" w:rsidRDefault="00DD6E50">
      <w:pPr>
        <w:pStyle w:val="FAPPPolicyParawithNumber"/>
        <w:rPr>
          <w:b/>
          <w:bCs/>
        </w:rPr>
      </w:pPr>
      <w:r>
        <w:t>2.01</w:t>
      </w:r>
      <w:r>
        <w:tab/>
        <w:t>The purpose of this Statement of Policy and Procedure is to establish internal controls over the authorization of expenses.</w:t>
      </w:r>
      <w:r>
        <w:rPr>
          <w:b/>
          <w:bCs/>
        </w:rPr>
        <w:t xml:space="preserve"> </w:t>
      </w:r>
    </w:p>
    <w:p w:rsidR="00DD6E50" w:rsidRDefault="00DD6E50">
      <w:pPr>
        <w:pStyle w:val="FAPPPolicyParawithNumber"/>
      </w:pPr>
    </w:p>
    <w:p w:rsidR="00DD6E50" w:rsidRDefault="00DD6E50">
      <w:pPr>
        <w:pStyle w:val="FAPPPolicyParawithNumber"/>
      </w:pPr>
    </w:p>
    <w:p w:rsidR="00DD6E50" w:rsidRDefault="00DD6E50">
      <w:pPr>
        <w:pStyle w:val="FAPPPolicyHead1"/>
      </w:pPr>
      <w:r>
        <w:t>3</w:t>
      </w:r>
      <w:r>
        <w:tab/>
        <w:t>SCOPE</w:t>
      </w:r>
    </w:p>
    <w:p w:rsidR="00DD6E50" w:rsidRDefault="00DD6E50">
      <w:pPr>
        <w:pStyle w:val="FAPPPolicyParawithNumber"/>
      </w:pPr>
      <w:r>
        <w:t>3.01</w:t>
      </w:r>
      <w:r>
        <w:tab/>
        <w:t>This policy applies to all individuals making pu</w:t>
      </w:r>
      <w:r w:rsidR="0047736F">
        <w:t>rchases on behalf of the agency</w:t>
      </w:r>
      <w:r>
        <w:t>.</w:t>
      </w:r>
    </w:p>
    <w:p w:rsidR="00DD6E50" w:rsidRDefault="00DD6E50">
      <w:pPr>
        <w:pStyle w:val="FAPPPolicyParawithNumber"/>
      </w:pPr>
    </w:p>
    <w:p w:rsidR="00DD6E50" w:rsidRDefault="00DD6E50">
      <w:pPr>
        <w:pStyle w:val="FAPPPolicyParawithNumber"/>
      </w:pPr>
    </w:p>
    <w:p w:rsidR="00DD6E50" w:rsidRDefault="00DD6E50">
      <w:pPr>
        <w:pStyle w:val="FAPPPolicyHead1"/>
      </w:pPr>
      <w:r>
        <w:t>4</w:t>
      </w:r>
      <w:r>
        <w:tab/>
        <w:t>RESPONSIBILITY</w:t>
      </w:r>
    </w:p>
    <w:p w:rsidR="00DD6E50" w:rsidRDefault="00DD6E50">
      <w:pPr>
        <w:pStyle w:val="FAPPPolicyParawithNumber"/>
      </w:pPr>
      <w:r>
        <w:t>4.01</w:t>
      </w:r>
      <w:r>
        <w:tab/>
        <w:t xml:space="preserve">All </w:t>
      </w:r>
      <w:r w:rsidR="00F07ACD">
        <w:t>locations</w:t>
      </w:r>
      <w:r>
        <w:t xml:space="preserve"> are responsible for ensuring that expenditures made on b</w:t>
      </w:r>
      <w:r w:rsidR="0047736F">
        <w:t>ehalf of the agency</w:t>
      </w:r>
      <w:r>
        <w:t xml:space="preserve"> represent good value and re</w:t>
      </w:r>
      <w:r w:rsidR="0047736F">
        <w:t>present a benefit to the agency</w:t>
      </w:r>
      <w:r>
        <w:t>.</w:t>
      </w:r>
    </w:p>
    <w:p w:rsidR="00DD6E50" w:rsidRDefault="00DD6E50">
      <w:pPr>
        <w:pStyle w:val="FAPPPolicyParawithNumber"/>
      </w:pPr>
    </w:p>
    <w:p w:rsidR="00DD6E50" w:rsidRDefault="00F07ACD">
      <w:pPr>
        <w:pStyle w:val="FAPPPolicyParawithNumber"/>
      </w:pPr>
      <w:r>
        <w:t>4.02</w:t>
      </w:r>
      <w:r>
        <w:tab/>
        <w:t xml:space="preserve">The Finance Department </w:t>
      </w:r>
      <w:r w:rsidR="00DD6E50">
        <w:t xml:space="preserve">is responsible for ensuring that no payments are made without appropriate authorization.  See also </w:t>
      </w:r>
      <w:r w:rsidR="00524307">
        <w:rPr>
          <w:b/>
          <w:bCs/>
        </w:rPr>
        <w:t>FN 5.03</w:t>
      </w:r>
      <w:r w:rsidR="00DD6E50">
        <w:rPr>
          <w:b/>
          <w:bCs/>
        </w:rPr>
        <w:t xml:space="preserve"> – Cheque</w:t>
      </w:r>
      <w:r w:rsidR="0047736F">
        <w:rPr>
          <w:b/>
          <w:bCs/>
        </w:rPr>
        <w:t>/EFT</w:t>
      </w:r>
      <w:r w:rsidR="00DD6E50">
        <w:rPr>
          <w:b/>
          <w:bCs/>
        </w:rPr>
        <w:t xml:space="preserve"> Issuance</w:t>
      </w:r>
      <w:r w:rsidR="00DD6E50">
        <w:t>.</w:t>
      </w:r>
    </w:p>
    <w:p w:rsidR="00DD6E50" w:rsidRDefault="00DD6E50">
      <w:pPr>
        <w:pStyle w:val="FAPPPolicyParawithNumber"/>
        <w:rPr>
          <w:b/>
          <w:bCs/>
        </w:rPr>
      </w:pPr>
    </w:p>
    <w:p w:rsidR="00DD6E50" w:rsidRDefault="00DD6E50">
      <w:pPr>
        <w:pStyle w:val="FAPPPolicyParawithNumber"/>
        <w:rPr>
          <w:b/>
          <w:bCs/>
        </w:rPr>
      </w:pPr>
    </w:p>
    <w:p w:rsidR="00DD6E50" w:rsidRDefault="00DD6E50">
      <w:pPr>
        <w:pStyle w:val="FAPPPolicyHead1"/>
      </w:pPr>
      <w:r>
        <w:t>5</w:t>
      </w:r>
      <w:r>
        <w:tab/>
        <w:t>DEFINITIONS</w:t>
      </w:r>
    </w:p>
    <w:p w:rsidR="00DD6E50" w:rsidRDefault="00DD6E50">
      <w:pPr>
        <w:pStyle w:val="FAPPPolicyParawithNumber"/>
      </w:pPr>
      <w:proofErr w:type="gramStart"/>
      <w:r>
        <w:t>5.01</w:t>
      </w:r>
      <w:proofErr w:type="gramEnd"/>
      <w:r>
        <w:tab/>
        <w:t>“</w:t>
      </w:r>
      <w:r>
        <w:rPr>
          <w:b/>
          <w:bCs/>
        </w:rPr>
        <w:t>Petty Cash</w:t>
      </w:r>
      <w:r>
        <w:t>” means a small amount of cash kept on hand at a work site to be used for necessary minor purchases.</w:t>
      </w:r>
    </w:p>
    <w:p w:rsidR="00DD6E50" w:rsidRDefault="00DD6E50">
      <w:pPr>
        <w:pStyle w:val="FAPPPolicyParawithNumber"/>
      </w:pPr>
    </w:p>
    <w:p w:rsidR="00DD6E50" w:rsidRDefault="00DD6E50">
      <w:pPr>
        <w:pStyle w:val="FAPPPolicyParawithNumber"/>
      </w:pPr>
      <w:r>
        <w:t>5.02</w:t>
      </w:r>
      <w:r>
        <w:tab/>
        <w:t>“</w:t>
      </w:r>
      <w:r w:rsidR="00F07ACD">
        <w:rPr>
          <w:b/>
          <w:bCs/>
        </w:rPr>
        <w:t>Purchase</w:t>
      </w:r>
      <w:r>
        <w:rPr>
          <w:b/>
          <w:bCs/>
        </w:rPr>
        <w:t xml:space="preserve"> Requisition</w:t>
      </w:r>
      <w:r w:rsidR="00F07ACD">
        <w:t>” means a form requesting a purchase</w:t>
      </w:r>
      <w:r>
        <w:t xml:space="preserve"> be </w:t>
      </w:r>
      <w:r w:rsidR="00F07ACD">
        <w:t>approved</w:t>
      </w:r>
      <w:r>
        <w:t>.</w:t>
      </w:r>
    </w:p>
    <w:p w:rsidR="00DD6E50" w:rsidRDefault="00DD6E50">
      <w:pPr>
        <w:pStyle w:val="FAPPPolicyParawithNumber"/>
      </w:pPr>
    </w:p>
    <w:p w:rsidR="00DD6E50" w:rsidRDefault="00DD6E50">
      <w:pPr>
        <w:pStyle w:val="FAPPPolicyParawithNumber"/>
      </w:pPr>
      <w:r>
        <w:t>5.03</w:t>
      </w:r>
      <w:r>
        <w:tab/>
        <w:t>“</w:t>
      </w:r>
      <w:r>
        <w:rPr>
          <w:b/>
          <w:bCs/>
        </w:rPr>
        <w:t>Budget</w:t>
      </w:r>
      <w:r>
        <w:t xml:space="preserve">” means a financial plan outlining expected revenues, expenses and expenditures for fixed assets that is formally reviewed and approved by the </w:t>
      </w:r>
      <w:r>
        <w:rPr>
          <w:b/>
          <w:bCs/>
        </w:rPr>
        <w:t>Board of Directors</w:t>
      </w:r>
      <w:r>
        <w:t>.</w:t>
      </w:r>
    </w:p>
    <w:p w:rsidR="00DD6E50" w:rsidRDefault="00DD6E50">
      <w:pPr>
        <w:pStyle w:val="FAPPPolicyParawithNumber"/>
      </w:pPr>
    </w:p>
    <w:p w:rsidR="00DD6E50" w:rsidRDefault="00DD6E50">
      <w:pPr>
        <w:pStyle w:val="FAPPPolicyParawithNumber"/>
      </w:pPr>
    </w:p>
    <w:p w:rsidR="00DD6E50" w:rsidRDefault="00DD6E50">
      <w:pPr>
        <w:pStyle w:val="FAPPPolicyHead1"/>
      </w:pPr>
      <w:r>
        <w:t>6</w:t>
      </w:r>
      <w:r>
        <w:tab/>
        <w:t>REFERENCES and RELATED STATEMENTS of POLICY and PROCEDURE</w:t>
      </w:r>
    </w:p>
    <w:p w:rsidR="00DD6E50" w:rsidRDefault="00DD6E50">
      <w:pPr>
        <w:pStyle w:val="FAPPPolicyPara"/>
      </w:pPr>
      <w:r>
        <w:t>FN 2.02 — Petty Cash</w:t>
      </w:r>
    </w:p>
    <w:p w:rsidR="00DD6E50" w:rsidRDefault="00DD6E50">
      <w:pPr>
        <w:pStyle w:val="FAPPPolicyPara"/>
      </w:pPr>
      <w:r>
        <w:lastRenderedPageBreak/>
        <w:t>FN 5.0</w:t>
      </w:r>
      <w:r w:rsidR="00524307">
        <w:t>3</w:t>
      </w:r>
      <w:r>
        <w:t xml:space="preserve"> — Cheque</w:t>
      </w:r>
      <w:r w:rsidR="0047736F">
        <w:t>/EFT</w:t>
      </w:r>
      <w:r>
        <w:t xml:space="preserve"> Issuance</w:t>
      </w:r>
    </w:p>
    <w:p w:rsidR="001A31C9" w:rsidRPr="001A31C9" w:rsidRDefault="00CA17A5">
      <w:pPr>
        <w:pStyle w:val="FAPPPolicyPara"/>
        <w:rPr>
          <w:u w:val="single"/>
        </w:rPr>
      </w:pPr>
      <w:r>
        <w:rPr>
          <w:u w:val="single"/>
        </w:rPr>
        <w:t>Community Living Chatham-Kent By</w:t>
      </w:r>
      <w:r w:rsidR="001A31C9">
        <w:rPr>
          <w:u w:val="single"/>
        </w:rPr>
        <w:t>laws.</w:t>
      </w:r>
    </w:p>
    <w:p w:rsidR="00DD6E50" w:rsidRDefault="00DD6E50">
      <w:pPr>
        <w:pStyle w:val="FAPPPolicyPara"/>
      </w:pPr>
    </w:p>
    <w:p w:rsidR="00DD6E50" w:rsidRDefault="00DD6E50">
      <w:pPr>
        <w:pStyle w:val="FAPPPolicyHead1"/>
      </w:pPr>
      <w:r>
        <w:t>7</w:t>
      </w:r>
      <w:r>
        <w:tab/>
        <w:t>PROCEDURES</w:t>
      </w:r>
    </w:p>
    <w:p w:rsidR="00DD6E50" w:rsidRDefault="00DD6E50">
      <w:pPr>
        <w:pStyle w:val="FAPPPolicyParawithNumber"/>
      </w:pPr>
      <w:r>
        <w:t>7.01</w:t>
      </w:r>
      <w:r>
        <w:tab/>
      </w:r>
      <w:r>
        <w:rPr>
          <w:b/>
          <w:bCs/>
        </w:rPr>
        <w:t>Goods an</w:t>
      </w:r>
      <w:r w:rsidR="004558DA">
        <w:rPr>
          <w:b/>
          <w:bCs/>
        </w:rPr>
        <w:t>d Services less than $</w:t>
      </w:r>
      <w:r w:rsidR="00A73CA2">
        <w:rPr>
          <w:b/>
          <w:bCs/>
        </w:rPr>
        <w:t>75.</w:t>
      </w:r>
    </w:p>
    <w:p w:rsidR="00DD6E50" w:rsidRDefault="00DD6E50">
      <w:pPr>
        <w:pStyle w:val="FAPPPolicyParaAwithNoNumber"/>
        <w:rPr>
          <w:rStyle w:val="PageNumber"/>
        </w:rPr>
      </w:pPr>
    </w:p>
    <w:p w:rsidR="00F07ACD" w:rsidRDefault="00DD6E50" w:rsidP="004558DA">
      <w:pPr>
        <w:pStyle w:val="FAPPPolicyParaAwithNoNumber"/>
        <w:numPr>
          <w:ilvl w:val="0"/>
          <w:numId w:val="15"/>
        </w:numPr>
        <w:ind w:left="1454" w:hanging="547"/>
      </w:pPr>
      <w:r>
        <w:t xml:space="preserve">Goods and services costing less than </w:t>
      </w:r>
      <w:r w:rsidR="00F07ACD">
        <w:t>$</w:t>
      </w:r>
      <w:r w:rsidR="00A73CA2">
        <w:rPr>
          <w:b/>
          <w:bCs/>
        </w:rPr>
        <w:t>75</w:t>
      </w:r>
      <w:r w:rsidR="00F673E8">
        <w:rPr>
          <w:b/>
          <w:bCs/>
        </w:rPr>
        <w:t>.00</w:t>
      </w:r>
      <w:r>
        <w:t xml:space="preserve"> required in the normal course of business may be paid for from Petty Cash (see </w:t>
      </w:r>
      <w:r>
        <w:rPr>
          <w:b/>
          <w:bCs/>
        </w:rPr>
        <w:t>FN 2.02 — Petty Cash</w:t>
      </w:r>
      <w:r>
        <w:t xml:space="preserve">). </w:t>
      </w:r>
    </w:p>
    <w:p w:rsidR="00DD6E50" w:rsidRDefault="00B37814" w:rsidP="00F07ACD">
      <w:pPr>
        <w:pStyle w:val="FAPPPolicyParaAwithNoNumber"/>
        <w:numPr>
          <w:ilvl w:val="0"/>
          <w:numId w:val="15"/>
        </w:numPr>
      </w:pPr>
      <w:r>
        <w:t xml:space="preserve">   </w:t>
      </w:r>
      <w:r w:rsidR="00F07ACD">
        <w:t xml:space="preserve">Mileage claims up to and including </w:t>
      </w:r>
      <w:r w:rsidR="00F07ACD" w:rsidRPr="00DF0214">
        <w:rPr>
          <w:b/>
        </w:rPr>
        <w:t>$</w:t>
      </w:r>
      <w:r w:rsidR="00F673E8">
        <w:rPr>
          <w:b/>
        </w:rPr>
        <w:t>50.00</w:t>
      </w:r>
      <w:r w:rsidR="00DD6E50">
        <w:t xml:space="preserve"> </w:t>
      </w:r>
      <w:proofErr w:type="gramStart"/>
      <w:r w:rsidR="00F07ACD">
        <w:t>can be made</w:t>
      </w:r>
      <w:proofErr w:type="gramEnd"/>
      <w:r w:rsidR="00F07ACD">
        <w:t xml:space="preserve"> from Petty Cash.</w:t>
      </w:r>
    </w:p>
    <w:p w:rsidR="00DD6E50" w:rsidRDefault="00DD6E50">
      <w:pPr>
        <w:pStyle w:val="FAPPPolicyParaAwithNoNumber"/>
      </w:pPr>
      <w:r>
        <w:t>(</w:t>
      </w:r>
      <w:r w:rsidR="00F07ACD">
        <w:t>c</w:t>
      </w:r>
      <w:r>
        <w:t>)</w:t>
      </w:r>
      <w:r>
        <w:tab/>
        <w:t xml:space="preserve">All withdrawals from Petty Cash and all expenditures using Petty Cash must be authorized by the employee’s </w:t>
      </w:r>
      <w:r w:rsidR="001A31C9">
        <w:t>manager</w:t>
      </w:r>
      <w:r>
        <w:t xml:space="preserve"> or the </w:t>
      </w:r>
      <w:r w:rsidR="001A31C9">
        <w:t>manager</w:t>
      </w:r>
      <w:r>
        <w:t xml:space="preserve">’s </w:t>
      </w:r>
      <w:r w:rsidR="00CA17A5" w:rsidRPr="0084363B">
        <w:t>designate</w:t>
      </w:r>
      <w:r w:rsidRPr="0084363B">
        <w:t>.</w:t>
      </w:r>
      <w:r>
        <w:rPr>
          <w:b/>
          <w:bCs/>
        </w:rPr>
        <w:t xml:space="preserve"> </w:t>
      </w:r>
      <w:r>
        <w:t xml:space="preserve"> This authorization may occur at the time that the petty cash fund is replenished.</w:t>
      </w:r>
    </w:p>
    <w:p w:rsidR="00DD6E50" w:rsidRDefault="00DD6E50">
      <w:pPr>
        <w:pStyle w:val="FAPPPolicyParaAwithNoNumber"/>
      </w:pPr>
    </w:p>
    <w:p w:rsidR="00DD6E50" w:rsidRDefault="00DD6E50">
      <w:pPr>
        <w:pStyle w:val="FAPPPolicyParawithNumber"/>
      </w:pPr>
      <w:r>
        <w:t>7.0</w:t>
      </w:r>
      <w:r w:rsidR="004558DA">
        <w:t>2</w:t>
      </w:r>
      <w:r>
        <w:tab/>
      </w:r>
      <w:r>
        <w:rPr>
          <w:b/>
          <w:bCs/>
        </w:rPr>
        <w:t>Goo</w:t>
      </w:r>
      <w:r w:rsidR="00353F41">
        <w:rPr>
          <w:b/>
          <w:bCs/>
        </w:rPr>
        <w:t>ds and Services greater than $</w:t>
      </w:r>
      <w:r w:rsidR="00A73CA2">
        <w:rPr>
          <w:b/>
          <w:bCs/>
        </w:rPr>
        <w:t>100. In the case of the Facilitie</w:t>
      </w:r>
      <w:r w:rsidR="00B37814">
        <w:rPr>
          <w:b/>
          <w:bCs/>
        </w:rPr>
        <w:t xml:space="preserve">s </w:t>
      </w:r>
      <w:proofErr w:type="gramStart"/>
      <w:r w:rsidR="00B37814">
        <w:rPr>
          <w:b/>
          <w:bCs/>
        </w:rPr>
        <w:t>Manager</w:t>
      </w:r>
      <w:proofErr w:type="gramEnd"/>
      <w:r w:rsidR="00B37814">
        <w:rPr>
          <w:b/>
          <w:bCs/>
        </w:rPr>
        <w:t xml:space="preserve"> the amount moves to $5</w:t>
      </w:r>
      <w:r w:rsidR="00A73CA2">
        <w:rPr>
          <w:b/>
          <w:bCs/>
        </w:rPr>
        <w:t>00.</w:t>
      </w:r>
    </w:p>
    <w:p w:rsidR="00DD6E50" w:rsidRDefault="00DD6E50">
      <w:pPr>
        <w:pStyle w:val="FAPPPolicyParaAwithNoNumber"/>
      </w:pPr>
    </w:p>
    <w:p w:rsidR="00DD6E50" w:rsidRDefault="002C3557">
      <w:pPr>
        <w:pStyle w:val="FAPPPolicyParaAwithNoNumber"/>
      </w:pPr>
      <w:r>
        <w:t>(a)</w:t>
      </w:r>
      <w:r>
        <w:tab/>
        <w:t>If the i</w:t>
      </w:r>
      <w:r w:rsidR="00DD6E50">
        <w:t>ndiv</w:t>
      </w:r>
      <w:r>
        <w:t>idual goods and services cost</w:t>
      </w:r>
      <w:r w:rsidR="00DD6E50">
        <w:t xml:space="preserve"> more than </w:t>
      </w:r>
      <w:r w:rsidR="004558DA">
        <w:rPr>
          <w:b/>
          <w:bCs/>
        </w:rPr>
        <w:t>$</w:t>
      </w:r>
      <w:r w:rsidR="00A73CA2">
        <w:rPr>
          <w:b/>
          <w:bCs/>
        </w:rPr>
        <w:t>100</w:t>
      </w:r>
      <w:r w:rsidR="00DD6E50">
        <w:rPr>
          <w:b/>
          <w:bCs/>
        </w:rPr>
        <w:t xml:space="preserve"> </w:t>
      </w:r>
      <w:r w:rsidR="00DD6E50">
        <w:t xml:space="preserve">the purchase order process </w:t>
      </w:r>
      <w:r>
        <w:t>or p</w:t>
      </w:r>
      <w:r w:rsidR="004558DA">
        <w:t xml:space="preserve">urchase </w:t>
      </w:r>
      <w:r>
        <w:t>r</w:t>
      </w:r>
      <w:r w:rsidR="004558DA">
        <w:t xml:space="preserve">equisition </w:t>
      </w:r>
      <w:r w:rsidR="00DD6E50">
        <w:t>must be used</w:t>
      </w:r>
      <w:r w:rsidR="00B37814">
        <w:t xml:space="preserve"> ($5</w:t>
      </w:r>
      <w:r w:rsidR="00A73CA2">
        <w:t>00 in the case of the Facilities Manager)</w:t>
      </w:r>
      <w:r w:rsidR="004558DA">
        <w:t>.  R</w:t>
      </w:r>
      <w:r w:rsidR="00DD6E50">
        <w:t>egular pr</w:t>
      </w:r>
      <w:r w:rsidR="004558DA">
        <w:t>edictable expenses such as rent</w:t>
      </w:r>
      <w:r w:rsidR="0047736F">
        <w:t xml:space="preserve"> being the exception</w:t>
      </w:r>
      <w:r w:rsidR="0084363B">
        <w:t>.</w:t>
      </w:r>
    </w:p>
    <w:p w:rsidR="00DD6E50" w:rsidRDefault="00DD6E50">
      <w:pPr>
        <w:pStyle w:val="FAPPPolicyParaAwithNoNumber"/>
      </w:pPr>
      <w:r>
        <w:t>(</w:t>
      </w:r>
      <w:r w:rsidR="004558DA">
        <w:t>b</w:t>
      </w:r>
      <w:r>
        <w:t>)</w:t>
      </w:r>
      <w:r>
        <w:tab/>
        <w:t>Purchase order authorizations are as follows:</w:t>
      </w:r>
    </w:p>
    <w:p w:rsidR="00DD6E50" w:rsidRDefault="00DD6E50">
      <w:pPr>
        <w:pStyle w:val="FAPPPolicySub-Para"/>
      </w:pPr>
      <w:r>
        <w:t>(</w:t>
      </w:r>
      <w:proofErr w:type="spellStart"/>
      <w:r>
        <w:t>i</w:t>
      </w:r>
      <w:proofErr w:type="spellEnd"/>
      <w:r>
        <w:t>)</w:t>
      </w:r>
      <w:r>
        <w:tab/>
        <w:t>Any purchase</w:t>
      </w:r>
      <w:r w:rsidR="004558DA">
        <w:t>s</w:t>
      </w:r>
      <w:r>
        <w:t xml:space="preserve"> </w:t>
      </w:r>
      <w:r w:rsidR="004558DA">
        <w:t xml:space="preserve">greater than </w:t>
      </w:r>
      <w:r w:rsidR="004558DA" w:rsidRPr="004558DA">
        <w:rPr>
          <w:b/>
        </w:rPr>
        <w:t>$</w:t>
      </w:r>
      <w:r w:rsidR="00A73CA2">
        <w:rPr>
          <w:b/>
        </w:rPr>
        <w:t xml:space="preserve">100 </w:t>
      </w:r>
      <w:r w:rsidR="00B37814">
        <w:t>($5</w:t>
      </w:r>
      <w:r w:rsidR="00003E09">
        <w:t xml:space="preserve">00 in the case of the Facilities Manager) used </w:t>
      </w:r>
      <w:r w:rsidR="0067487A">
        <w:t xml:space="preserve">and less than </w:t>
      </w:r>
      <w:r w:rsidR="00B37814">
        <w:rPr>
          <w:b/>
        </w:rPr>
        <w:t>$5</w:t>
      </w:r>
      <w:r w:rsidR="0067487A">
        <w:rPr>
          <w:b/>
        </w:rPr>
        <w:t>,</w:t>
      </w:r>
      <w:r w:rsidR="00B37814">
        <w:rPr>
          <w:b/>
        </w:rPr>
        <w:t>0</w:t>
      </w:r>
      <w:r w:rsidR="0067487A">
        <w:rPr>
          <w:b/>
        </w:rPr>
        <w:t xml:space="preserve">00 </w:t>
      </w:r>
      <w:r w:rsidR="0067487A">
        <w:t xml:space="preserve">with the exception of those </w:t>
      </w:r>
      <w:r w:rsidR="00947EBB">
        <w:t xml:space="preserve">purchases </w:t>
      </w:r>
      <w:r w:rsidR="0067487A">
        <w:t>noted in 7.01 and 7.02(a)</w:t>
      </w:r>
      <w:r w:rsidR="004558DA">
        <w:t xml:space="preserve"> </w:t>
      </w:r>
      <w:proofErr w:type="gramStart"/>
      <w:r w:rsidR="004558DA">
        <w:t>shall be requested</w:t>
      </w:r>
      <w:proofErr w:type="gramEnd"/>
      <w:r w:rsidR="004558DA">
        <w:t xml:space="preserve"> using the Purchase Requisition Form and </w:t>
      </w:r>
      <w:r>
        <w:t xml:space="preserve">authorized by </w:t>
      </w:r>
      <w:r w:rsidR="004558DA">
        <w:t xml:space="preserve">the applicable </w:t>
      </w:r>
      <w:r w:rsidR="004558DA">
        <w:rPr>
          <w:b/>
        </w:rPr>
        <w:t>Director</w:t>
      </w:r>
      <w:r w:rsidR="004558DA">
        <w:t>.</w:t>
      </w:r>
    </w:p>
    <w:p w:rsidR="00947EBB" w:rsidRPr="00947EBB" w:rsidRDefault="00947EBB">
      <w:pPr>
        <w:pStyle w:val="FAPPPolicySub-Para"/>
      </w:pPr>
      <w:r>
        <w:t>(ii)</w:t>
      </w:r>
      <w:r>
        <w:tab/>
        <w:t xml:space="preserve">The </w:t>
      </w:r>
      <w:r w:rsidR="00F673E8">
        <w:rPr>
          <w:b/>
        </w:rPr>
        <w:t>Facilities</w:t>
      </w:r>
      <w:r>
        <w:rPr>
          <w:b/>
        </w:rPr>
        <w:t xml:space="preserve"> Manager</w:t>
      </w:r>
      <w:r>
        <w:t xml:space="preserve"> is authorized to make purchases without the approval of a </w:t>
      </w:r>
      <w:r w:rsidRPr="00947EBB">
        <w:rPr>
          <w:b/>
        </w:rPr>
        <w:t>Director</w:t>
      </w:r>
      <w:r>
        <w:t xml:space="preserve"> when the purchase is required according to routine operations, and is less than or equal to </w:t>
      </w:r>
      <w:r w:rsidRPr="00947EBB">
        <w:rPr>
          <w:b/>
        </w:rPr>
        <w:t>$</w:t>
      </w:r>
      <w:r w:rsidR="00B37814">
        <w:rPr>
          <w:b/>
        </w:rPr>
        <w:t>4</w:t>
      </w:r>
      <w:r w:rsidRPr="00947EBB">
        <w:rPr>
          <w:b/>
        </w:rPr>
        <w:t>,</w:t>
      </w:r>
      <w:r w:rsidR="00B37814">
        <w:rPr>
          <w:b/>
        </w:rPr>
        <w:t>9</w:t>
      </w:r>
      <w:r w:rsidR="00F673E8">
        <w:rPr>
          <w:b/>
        </w:rPr>
        <w:t>99</w:t>
      </w:r>
      <w:r>
        <w:t xml:space="preserve">. Purchases over </w:t>
      </w:r>
      <w:r>
        <w:rPr>
          <w:b/>
        </w:rPr>
        <w:t>$</w:t>
      </w:r>
      <w:r w:rsidR="00B37814">
        <w:rPr>
          <w:b/>
        </w:rPr>
        <w:t>4</w:t>
      </w:r>
      <w:r>
        <w:rPr>
          <w:b/>
        </w:rPr>
        <w:t>,</w:t>
      </w:r>
      <w:r w:rsidR="00B37814">
        <w:rPr>
          <w:b/>
        </w:rPr>
        <w:t>9</w:t>
      </w:r>
      <w:r w:rsidR="00F673E8">
        <w:rPr>
          <w:b/>
        </w:rPr>
        <w:t>99</w:t>
      </w:r>
      <w:r>
        <w:t xml:space="preserve"> require the approval of a </w:t>
      </w:r>
      <w:r>
        <w:rPr>
          <w:b/>
        </w:rPr>
        <w:t>Director</w:t>
      </w:r>
      <w:r>
        <w:t>.</w:t>
      </w:r>
    </w:p>
    <w:p w:rsidR="00DD6E50" w:rsidRDefault="00DD6E50">
      <w:pPr>
        <w:pStyle w:val="FAPPPolicySub-Para"/>
      </w:pPr>
      <w:r>
        <w:t>(i</w:t>
      </w:r>
      <w:r w:rsidR="0067487A">
        <w:t>i</w:t>
      </w:r>
      <w:r>
        <w:t>)</w:t>
      </w:r>
      <w:r>
        <w:tab/>
        <w:t xml:space="preserve">Any purchase with a gross value greater than </w:t>
      </w:r>
      <w:r w:rsidRPr="0067487A">
        <w:rPr>
          <w:b/>
        </w:rPr>
        <w:t>$</w:t>
      </w:r>
      <w:r w:rsidR="00B37814">
        <w:rPr>
          <w:b/>
        </w:rPr>
        <w:t>4</w:t>
      </w:r>
      <w:r>
        <w:rPr>
          <w:b/>
          <w:bCs/>
        </w:rPr>
        <w:t>,</w:t>
      </w:r>
      <w:r w:rsidR="00B37814">
        <w:rPr>
          <w:b/>
          <w:bCs/>
        </w:rPr>
        <w:t>9</w:t>
      </w:r>
      <w:r w:rsidR="00F673E8">
        <w:rPr>
          <w:b/>
          <w:bCs/>
        </w:rPr>
        <w:t>99</w:t>
      </w:r>
      <w:r>
        <w:t xml:space="preserve"> </w:t>
      </w:r>
      <w:r w:rsidR="0067487A" w:rsidRPr="0058486A">
        <w:t>and</w:t>
      </w:r>
      <w:r w:rsidR="0067487A">
        <w:t xml:space="preserve"> noted in the approved budget </w:t>
      </w:r>
      <w:proofErr w:type="gramStart"/>
      <w:r w:rsidR="0067487A">
        <w:t>shall be requested</w:t>
      </w:r>
      <w:proofErr w:type="gramEnd"/>
      <w:r w:rsidR="0067487A">
        <w:t xml:space="preserve"> using a</w:t>
      </w:r>
      <w:r w:rsidR="00822B54">
        <w:t>n agency</w:t>
      </w:r>
      <w:r w:rsidR="0067487A">
        <w:t xml:space="preserve"> </w:t>
      </w:r>
      <w:r w:rsidR="00822B54">
        <w:t>Purchase O</w:t>
      </w:r>
      <w:r w:rsidR="0067487A">
        <w:t xml:space="preserve">rder and approved by the applicable </w:t>
      </w:r>
      <w:r w:rsidR="0067487A">
        <w:rPr>
          <w:b/>
        </w:rPr>
        <w:t xml:space="preserve">Director </w:t>
      </w:r>
      <w:r w:rsidR="0067487A">
        <w:t xml:space="preserve">or </w:t>
      </w:r>
      <w:r w:rsidR="006B60C1">
        <w:rPr>
          <w:b/>
          <w:bCs/>
        </w:rPr>
        <w:t>Director of Corporate Services</w:t>
      </w:r>
      <w:r>
        <w:t>.</w:t>
      </w:r>
    </w:p>
    <w:p w:rsidR="00DD6E50" w:rsidRDefault="00795520">
      <w:pPr>
        <w:pStyle w:val="FAPPPolicySub-Para"/>
        <w:spacing w:after="120"/>
        <w:ind w:left="1987" w:hanging="547"/>
      </w:pPr>
      <w:r>
        <w:t>(iii</w:t>
      </w:r>
      <w:r w:rsidR="00DD6E50">
        <w:t>)</w:t>
      </w:r>
      <w:r w:rsidR="00DD6E50">
        <w:tab/>
        <w:t>Any purchase wi</w:t>
      </w:r>
      <w:r w:rsidR="0067487A">
        <w:t xml:space="preserve">th a gross value greater than </w:t>
      </w:r>
      <w:r w:rsidR="0067487A" w:rsidRPr="0067487A">
        <w:rPr>
          <w:b/>
        </w:rPr>
        <w:t>$</w:t>
      </w:r>
      <w:r w:rsidR="00B37814">
        <w:rPr>
          <w:b/>
        </w:rPr>
        <w:t>4</w:t>
      </w:r>
      <w:r w:rsidR="00DD6E50">
        <w:rPr>
          <w:b/>
          <w:bCs/>
        </w:rPr>
        <w:t>,</w:t>
      </w:r>
      <w:r w:rsidR="00B37814">
        <w:rPr>
          <w:b/>
          <w:bCs/>
        </w:rPr>
        <w:t>9</w:t>
      </w:r>
      <w:r w:rsidR="00F673E8">
        <w:rPr>
          <w:b/>
          <w:bCs/>
        </w:rPr>
        <w:t>99</w:t>
      </w:r>
      <w:r w:rsidR="00DD6E50">
        <w:t xml:space="preserve"> and not approved in the budget</w:t>
      </w:r>
      <w:r w:rsidR="0067487A">
        <w:t>,</w:t>
      </w:r>
      <w:r w:rsidR="00DD6E50">
        <w:t xml:space="preserve"> shall be reviewed </w:t>
      </w:r>
      <w:r w:rsidR="0067487A">
        <w:t xml:space="preserve">with the </w:t>
      </w:r>
      <w:r w:rsidR="006B60C1">
        <w:rPr>
          <w:b/>
        </w:rPr>
        <w:t xml:space="preserve">Director of </w:t>
      </w:r>
      <w:r w:rsidR="006B60C1">
        <w:rPr>
          <w:b/>
        </w:rPr>
        <w:lastRenderedPageBreak/>
        <w:t>Corporate Services</w:t>
      </w:r>
      <w:r w:rsidR="0067487A">
        <w:rPr>
          <w:b/>
        </w:rPr>
        <w:t xml:space="preserve"> or designate </w:t>
      </w:r>
      <w:r w:rsidR="0067487A">
        <w:t>prior to ordering</w:t>
      </w:r>
      <w:r w:rsidR="00DD6E50">
        <w:t>.</w:t>
      </w:r>
      <w:r w:rsidR="0067487A">
        <w:t xml:space="preserve">  When approved</w:t>
      </w:r>
      <w:r w:rsidR="00947EBB">
        <w:t>,</w:t>
      </w:r>
      <w:r w:rsidR="0067487A">
        <w:t xml:space="preserve"> the order shall be made </w:t>
      </w:r>
      <w:r w:rsidR="0067487A" w:rsidRPr="0084363B">
        <w:t>using</w:t>
      </w:r>
      <w:r w:rsidR="00CA17A5" w:rsidRPr="0084363B">
        <w:t xml:space="preserve"> a</w:t>
      </w:r>
      <w:r w:rsidR="0067487A" w:rsidRPr="0084363B">
        <w:t xml:space="preserve"> Purchase</w:t>
      </w:r>
      <w:r w:rsidR="0067487A">
        <w:t xml:space="preserve"> Order.</w:t>
      </w:r>
    </w:p>
    <w:p w:rsidR="00947EBB" w:rsidRDefault="00DD6E50" w:rsidP="00947EBB">
      <w:pPr>
        <w:pStyle w:val="FAPPPolicyParaAwithNoNumber"/>
        <w:numPr>
          <w:ilvl w:val="0"/>
          <w:numId w:val="15"/>
        </w:numPr>
      </w:pPr>
      <w:r>
        <w:t>Authorization for any activity, unless specified otherwise in another policy, shall be as follows:</w:t>
      </w:r>
    </w:p>
    <w:p w:rsidR="00DD6E50" w:rsidRDefault="00947EBB" w:rsidP="00947EBB">
      <w:pPr>
        <w:pStyle w:val="FAPPPolicyParaAwithNoNumber"/>
        <w:ind w:left="1267" w:firstLine="0"/>
      </w:pPr>
      <w:r>
        <w:t>(</w:t>
      </w:r>
      <w:proofErr w:type="spellStart"/>
      <w:r>
        <w:t>i</w:t>
      </w:r>
      <w:proofErr w:type="spellEnd"/>
      <w:r>
        <w:t>)</w:t>
      </w:r>
      <w:r w:rsidR="00DD6E50">
        <w:tab/>
        <w:t xml:space="preserve">Any agreement that may materially affect the direction or the finances of the company shall </w:t>
      </w:r>
      <w:r w:rsidR="00822B54">
        <w:t xml:space="preserve">first be approved by the </w:t>
      </w:r>
      <w:r w:rsidR="00822B54">
        <w:rPr>
          <w:b/>
        </w:rPr>
        <w:t xml:space="preserve">Executive Director.  </w:t>
      </w:r>
      <w:r w:rsidR="00822B54">
        <w:t xml:space="preserve">The </w:t>
      </w:r>
      <w:r w:rsidR="00822B54">
        <w:rPr>
          <w:b/>
        </w:rPr>
        <w:t xml:space="preserve">Executive Director and </w:t>
      </w:r>
      <w:r w:rsidR="006B60C1">
        <w:rPr>
          <w:b/>
        </w:rPr>
        <w:t>Director of Corporate Services</w:t>
      </w:r>
      <w:r w:rsidR="00822B54">
        <w:rPr>
          <w:b/>
        </w:rPr>
        <w:t xml:space="preserve"> </w:t>
      </w:r>
      <w:r w:rsidR="00822B54">
        <w:t xml:space="preserve">shall then present the request to the Finance Committee and the </w:t>
      </w:r>
      <w:r w:rsidR="00DD6E50">
        <w:rPr>
          <w:b/>
          <w:bCs/>
        </w:rPr>
        <w:t>Board of Directors</w:t>
      </w:r>
      <w:r w:rsidR="00822B54">
        <w:rPr>
          <w:b/>
          <w:bCs/>
        </w:rPr>
        <w:t xml:space="preserve"> </w:t>
      </w:r>
      <w:r w:rsidR="00822B54">
        <w:rPr>
          <w:bCs/>
        </w:rPr>
        <w:t>for approval</w:t>
      </w:r>
      <w:r w:rsidR="00DD6E50">
        <w:t>. This includes, but is not restricted to:</w:t>
      </w:r>
    </w:p>
    <w:p w:rsidR="00DD6E50" w:rsidRDefault="00DD6E50">
      <w:pPr>
        <w:pStyle w:val="FAAPPolicySub-SubPara"/>
      </w:pPr>
      <w:r>
        <w:t>(A)</w:t>
      </w:r>
      <w:r>
        <w:tab/>
        <w:t xml:space="preserve">Acquisitions, or </w:t>
      </w:r>
      <w:r w:rsidR="00027C33">
        <w:t>start-up of a new</w:t>
      </w:r>
      <w:r>
        <w:t xml:space="preserve"> business</w:t>
      </w:r>
    </w:p>
    <w:p w:rsidR="00DD6E50" w:rsidRDefault="00DD6E50">
      <w:pPr>
        <w:pStyle w:val="FAAPPolicySub-SubPara"/>
      </w:pPr>
      <w:r>
        <w:t>(B)</w:t>
      </w:r>
      <w:r>
        <w:tab/>
        <w:t>Divestitures, or the sale of part of the business</w:t>
      </w:r>
    </w:p>
    <w:p w:rsidR="00DD6E50" w:rsidRDefault="00DD6E50">
      <w:pPr>
        <w:pStyle w:val="FAAPPolicySub-SubPara"/>
      </w:pPr>
      <w:r>
        <w:t>(C)</w:t>
      </w:r>
      <w:r>
        <w:tab/>
        <w:t>Any contract out of the ordinary course of business</w:t>
      </w:r>
    </w:p>
    <w:p w:rsidR="00DD6E50" w:rsidRDefault="00DD6E50">
      <w:pPr>
        <w:pStyle w:val="FAAPPolicySub-SubPara"/>
      </w:pPr>
      <w:r>
        <w:t>(D)</w:t>
      </w:r>
      <w:r w:rsidR="00027C33">
        <w:tab/>
        <w:t xml:space="preserve">Any contract extending beyond </w:t>
      </w:r>
      <w:r w:rsidR="00795520">
        <w:rPr>
          <w:b/>
          <w:bCs/>
        </w:rPr>
        <w:t>2</w:t>
      </w:r>
      <w:r>
        <w:rPr>
          <w:b/>
          <w:bCs/>
        </w:rPr>
        <w:t xml:space="preserve"> year</w:t>
      </w:r>
      <w:r w:rsidR="00795520">
        <w:rPr>
          <w:b/>
          <w:bCs/>
        </w:rPr>
        <w:t>s</w:t>
      </w:r>
      <w:r>
        <w:t xml:space="preserve"> (other than operating leases)</w:t>
      </w:r>
    </w:p>
    <w:p w:rsidR="00DD6E50" w:rsidRDefault="00DD6E50">
      <w:pPr>
        <w:pStyle w:val="FAAPPolicySub-SubPara"/>
      </w:pPr>
      <w:r>
        <w:t>(E)</w:t>
      </w:r>
      <w:r>
        <w:tab/>
        <w:t>Any contract wi</w:t>
      </w:r>
      <w:r w:rsidR="00027C33">
        <w:t>th a gross value greater than $</w:t>
      </w:r>
      <w:r w:rsidR="00F673E8">
        <w:t>1</w:t>
      </w:r>
      <w:r>
        <w:rPr>
          <w:b/>
          <w:bCs/>
        </w:rPr>
        <w:t>00,000</w:t>
      </w:r>
    </w:p>
    <w:p w:rsidR="00DD6E50" w:rsidRDefault="00DD6E50">
      <w:pPr>
        <w:pStyle w:val="FAAPPolicySub-SubPara"/>
      </w:pPr>
    </w:p>
    <w:p w:rsidR="00DD6E50" w:rsidRDefault="00DD6E50">
      <w:pPr>
        <w:pStyle w:val="FAPPPolicyParaAwithNoNumber"/>
      </w:pPr>
      <w:r>
        <w:t>(</w:t>
      </w:r>
      <w:r w:rsidR="00DF0214">
        <w:t>d</w:t>
      </w:r>
      <w:r>
        <w:t>)</w:t>
      </w:r>
      <w:r>
        <w:tab/>
      </w:r>
      <w:r w:rsidRPr="0084363B">
        <w:t xml:space="preserve">Any </w:t>
      </w:r>
      <w:r w:rsidR="00CA17A5" w:rsidRPr="0084363B">
        <w:rPr>
          <w:b/>
        </w:rPr>
        <w:t xml:space="preserve">new </w:t>
      </w:r>
      <w:r w:rsidRPr="0084363B">
        <w:t>agreement</w:t>
      </w:r>
      <w:r>
        <w:t xml:space="preserve"> w</w:t>
      </w:r>
      <w:r w:rsidR="00862948">
        <w:t xml:space="preserve">ith a gross value greater than </w:t>
      </w:r>
      <w:r w:rsidR="00862948">
        <w:rPr>
          <w:b/>
        </w:rPr>
        <w:t>$</w:t>
      </w:r>
      <w:r w:rsidR="00CF43E3">
        <w:rPr>
          <w:b/>
        </w:rPr>
        <w:t>49,999</w:t>
      </w:r>
      <w:r w:rsidR="00795520">
        <w:t xml:space="preserve">, </w:t>
      </w:r>
      <w:r w:rsidR="00862948">
        <w:t xml:space="preserve">or a term greater than </w:t>
      </w:r>
      <w:r w:rsidR="00CA17A5">
        <w:rPr>
          <w:b/>
        </w:rPr>
        <w:t>3</w:t>
      </w:r>
      <w:r>
        <w:rPr>
          <w:b/>
          <w:bCs/>
        </w:rPr>
        <w:t xml:space="preserve"> year</w:t>
      </w:r>
      <w:r w:rsidR="00CA17A5">
        <w:rPr>
          <w:b/>
          <w:bCs/>
        </w:rPr>
        <w:t>s</w:t>
      </w:r>
      <w:r>
        <w:t xml:space="preserve"> shall be reviewed and authorized by the </w:t>
      </w:r>
      <w:r w:rsidR="00862948" w:rsidRPr="00862948">
        <w:rPr>
          <w:b/>
        </w:rPr>
        <w:t>Executive Director</w:t>
      </w:r>
      <w:r>
        <w:t>.</w:t>
      </w:r>
    </w:p>
    <w:p w:rsidR="003A4864" w:rsidRDefault="00CD2BD4">
      <w:pPr>
        <w:pStyle w:val="FAPPPolicyParaAwithNoNumber"/>
      </w:pPr>
      <w:r>
        <w:t>(</w:t>
      </w:r>
      <w:r w:rsidR="00DF0214">
        <w:t>e</w:t>
      </w:r>
      <w:r w:rsidR="003A4864">
        <w:t>)</w:t>
      </w:r>
      <w:r w:rsidR="003A4864">
        <w:tab/>
        <w:t>Credit card purchases require the same authorizations as noted above.</w:t>
      </w:r>
    </w:p>
    <w:p w:rsidR="00CD2BD4" w:rsidRDefault="00CD2BD4">
      <w:pPr>
        <w:pStyle w:val="FAPPPolicyParaAwithNoNumber"/>
      </w:pPr>
      <w:r>
        <w:t>(</w:t>
      </w:r>
      <w:r w:rsidR="00DF0214">
        <w:t>f</w:t>
      </w:r>
      <w:r>
        <w:t>)</w:t>
      </w:r>
      <w:r>
        <w:tab/>
        <w:t>All financial affairs are to be conducted in accordance with Community Living Chatham-Kent bylaws.</w:t>
      </w:r>
    </w:p>
    <w:p w:rsidR="00CD2BD4" w:rsidRPr="00CE0524" w:rsidRDefault="00DF0214">
      <w:pPr>
        <w:pStyle w:val="FAPPPolicyParaAwithNoNumber"/>
      </w:pPr>
      <w:r>
        <w:t>(g</w:t>
      </w:r>
      <w:r w:rsidR="00CD2BD4">
        <w:t>)</w:t>
      </w:r>
      <w:r w:rsidR="00CD2BD4">
        <w:tab/>
        <w:t>Per Article 4.03, para</w:t>
      </w:r>
      <w:r w:rsidR="00CE0524">
        <w:t>graph 2 of the agency bylaws, “C</w:t>
      </w:r>
      <w:r w:rsidR="00CD2BD4">
        <w:t xml:space="preserve">orporation reserves cannot be used for direct operation without the approval of the </w:t>
      </w:r>
      <w:r w:rsidR="00CD2BD4">
        <w:rPr>
          <w:b/>
        </w:rPr>
        <w:t>Board of Directors</w:t>
      </w:r>
      <w:r w:rsidR="00CD2BD4" w:rsidRPr="00CD2BD4">
        <w:t>.  A seventy-five percent (75%)</w:t>
      </w:r>
      <w:r w:rsidR="00CE0524">
        <w:t xml:space="preserve"> majority vote of the </w:t>
      </w:r>
      <w:r w:rsidR="00CE0524">
        <w:rPr>
          <w:b/>
        </w:rPr>
        <w:t>Board of Directors</w:t>
      </w:r>
      <w:r w:rsidR="00CE0524">
        <w:t xml:space="preserve"> is required to allow the funds to fall below the minimum amount set annually by the </w:t>
      </w:r>
      <w:r w:rsidR="00CE0524">
        <w:rPr>
          <w:b/>
        </w:rPr>
        <w:t>Board of Directors</w:t>
      </w:r>
      <w:r w:rsidR="00CE0524">
        <w:t>.  A seventy-five (75%) majority vote would be required to change the minimum amount.”</w:t>
      </w:r>
    </w:p>
    <w:p w:rsidR="00DD6E50" w:rsidRDefault="00DD6E50">
      <w:pPr>
        <w:pStyle w:val="FAPPPolicyPara"/>
      </w:pPr>
    </w:p>
    <w:p w:rsidR="00DD6E50" w:rsidRDefault="00255B2E">
      <w:pPr>
        <w:pStyle w:val="FAPPPolicyParawithNumber"/>
      </w:pPr>
      <w:r>
        <w:t>7.03</w:t>
      </w:r>
      <w:r w:rsidR="00DD6E50">
        <w:tab/>
      </w:r>
      <w:r w:rsidR="00DD6E50">
        <w:rPr>
          <w:b/>
          <w:bCs/>
        </w:rPr>
        <w:t>Purchases initiated by Management</w:t>
      </w:r>
    </w:p>
    <w:p w:rsidR="00DD6E50" w:rsidRDefault="00DD6E50">
      <w:pPr>
        <w:pStyle w:val="FAPPPolicyParaAwithNoNumber"/>
      </w:pPr>
    </w:p>
    <w:p w:rsidR="00A47FC1" w:rsidRDefault="00947EBB" w:rsidP="00A47FC1">
      <w:pPr>
        <w:pStyle w:val="FAPPPolicyParaAwithNoNumber"/>
        <w:numPr>
          <w:ilvl w:val="0"/>
          <w:numId w:val="16"/>
        </w:numPr>
        <w:ind w:left="1454" w:hanging="547"/>
      </w:pPr>
      <w:r>
        <w:t xml:space="preserve">A </w:t>
      </w:r>
      <w:r>
        <w:rPr>
          <w:b/>
        </w:rPr>
        <w:t xml:space="preserve">Director </w:t>
      </w:r>
      <w:r>
        <w:t xml:space="preserve">is authorized to initiate purchases less than or equal to </w:t>
      </w:r>
      <w:r w:rsidR="002032D1" w:rsidRPr="000F6CD6">
        <w:rPr>
          <w:b/>
        </w:rPr>
        <w:t>$</w:t>
      </w:r>
      <w:r w:rsidR="00B37814">
        <w:rPr>
          <w:b/>
        </w:rPr>
        <w:t>4</w:t>
      </w:r>
      <w:r w:rsidR="002032D1" w:rsidRPr="000F6CD6">
        <w:rPr>
          <w:b/>
        </w:rPr>
        <w:t>,</w:t>
      </w:r>
      <w:r w:rsidR="00B37814">
        <w:rPr>
          <w:b/>
        </w:rPr>
        <w:t>9</w:t>
      </w:r>
      <w:r w:rsidR="00F673E8">
        <w:rPr>
          <w:b/>
        </w:rPr>
        <w:t>99</w:t>
      </w:r>
      <w:r w:rsidR="002032D1">
        <w:t xml:space="preserve"> </w:t>
      </w:r>
      <w:r w:rsidR="00A47FC1">
        <w:t>without a second</w:t>
      </w:r>
      <w:r w:rsidR="00DD6E50">
        <w:t xml:space="preserve"> authorizing signature</w:t>
      </w:r>
      <w:r>
        <w:t>.</w:t>
      </w:r>
    </w:p>
    <w:p w:rsidR="00A47FC1" w:rsidRDefault="00A47FC1" w:rsidP="00A47FC1">
      <w:pPr>
        <w:pStyle w:val="FAPPPolicyParaAwithNoNumber"/>
        <w:numPr>
          <w:ilvl w:val="0"/>
          <w:numId w:val="16"/>
        </w:numPr>
        <w:ind w:left="1454" w:hanging="547"/>
      </w:pPr>
      <w:r>
        <w:t xml:space="preserve">A </w:t>
      </w:r>
      <w:r>
        <w:rPr>
          <w:b/>
        </w:rPr>
        <w:t xml:space="preserve">Director </w:t>
      </w:r>
      <w:r>
        <w:t xml:space="preserve">is authorized to initiate purchases greater than </w:t>
      </w:r>
      <w:r>
        <w:rPr>
          <w:b/>
        </w:rPr>
        <w:t>$</w:t>
      </w:r>
      <w:r w:rsidR="00CF43E3">
        <w:rPr>
          <w:b/>
        </w:rPr>
        <w:t>9,999</w:t>
      </w:r>
      <w:r>
        <w:rPr>
          <w:b/>
        </w:rPr>
        <w:t xml:space="preserve"> </w:t>
      </w:r>
      <w:r>
        <w:t>without a second authorizing signature if the item is noted in the approved budget.</w:t>
      </w:r>
    </w:p>
    <w:p w:rsidR="00A47FC1" w:rsidRDefault="00EE4867" w:rsidP="00A47FC1">
      <w:pPr>
        <w:pStyle w:val="FAPPPolicyParaAwithNoNumber"/>
        <w:numPr>
          <w:ilvl w:val="0"/>
          <w:numId w:val="16"/>
        </w:numPr>
        <w:ind w:left="1454" w:hanging="547"/>
      </w:pPr>
      <w:r>
        <w:t xml:space="preserve">Authorization of the </w:t>
      </w:r>
      <w:r w:rsidRPr="00A47FC1">
        <w:rPr>
          <w:b/>
        </w:rPr>
        <w:t xml:space="preserve">Director of </w:t>
      </w:r>
      <w:r w:rsidR="006B60C1">
        <w:rPr>
          <w:b/>
        </w:rPr>
        <w:t xml:space="preserve">Corporate Services </w:t>
      </w:r>
      <w:r w:rsidRPr="00A47FC1">
        <w:rPr>
          <w:b/>
        </w:rPr>
        <w:t xml:space="preserve">or the Executive Director </w:t>
      </w:r>
      <w:r>
        <w:t>is required w</w:t>
      </w:r>
      <w:r w:rsidR="00DD6E50">
        <w:t xml:space="preserve">here a </w:t>
      </w:r>
      <w:r w:rsidR="000F6CD6" w:rsidRPr="00A47FC1">
        <w:rPr>
          <w:b/>
        </w:rPr>
        <w:t>Director</w:t>
      </w:r>
      <w:r w:rsidR="00DD6E50">
        <w:t xml:space="preserve"> initiates a purchase</w:t>
      </w:r>
      <w:r w:rsidR="00A47FC1">
        <w:t xml:space="preserve"> greater tha</w:t>
      </w:r>
      <w:r>
        <w:t>n</w:t>
      </w:r>
      <w:r w:rsidR="00A47FC1">
        <w:t xml:space="preserve"> </w:t>
      </w:r>
      <w:bookmarkStart w:id="0" w:name="_GoBack"/>
      <w:bookmarkEnd w:id="0"/>
      <w:r w:rsidR="00A47FC1" w:rsidRPr="00A47FC1">
        <w:rPr>
          <w:b/>
        </w:rPr>
        <w:t>$</w:t>
      </w:r>
      <w:r w:rsidR="00B37814">
        <w:rPr>
          <w:b/>
        </w:rPr>
        <w:t>4</w:t>
      </w:r>
      <w:r w:rsidR="00A47FC1" w:rsidRPr="00A47FC1">
        <w:rPr>
          <w:b/>
        </w:rPr>
        <w:t>,</w:t>
      </w:r>
      <w:r w:rsidR="00B37814">
        <w:rPr>
          <w:b/>
        </w:rPr>
        <w:t>9</w:t>
      </w:r>
      <w:r w:rsidR="00F673E8">
        <w:rPr>
          <w:b/>
        </w:rPr>
        <w:t>99</w:t>
      </w:r>
      <w:r w:rsidR="00A47FC1">
        <w:t xml:space="preserve"> that </w:t>
      </w:r>
      <w:proofErr w:type="gramStart"/>
      <w:r w:rsidR="00A47FC1">
        <w:t>is not noted</w:t>
      </w:r>
      <w:proofErr w:type="gramEnd"/>
      <w:r w:rsidR="00A47FC1">
        <w:t xml:space="preserve"> in the approved budget.</w:t>
      </w:r>
    </w:p>
    <w:p w:rsidR="00DD6E50" w:rsidRDefault="00A47FC1" w:rsidP="00A47FC1">
      <w:pPr>
        <w:pStyle w:val="FAPPPolicyParaAwithNoNumber"/>
        <w:ind w:firstLine="0"/>
      </w:pPr>
      <w:r>
        <w:t xml:space="preserve"> </w:t>
      </w:r>
    </w:p>
    <w:p w:rsidR="00DD6E50" w:rsidRDefault="00DD6E50">
      <w:pPr>
        <w:pStyle w:val="FAPPPolicyParawithNumber"/>
      </w:pPr>
      <w:r>
        <w:t>7.0</w:t>
      </w:r>
      <w:r w:rsidR="00FB149F">
        <w:t>4</w:t>
      </w:r>
      <w:r>
        <w:tab/>
      </w:r>
      <w:r>
        <w:rPr>
          <w:b/>
          <w:bCs/>
        </w:rPr>
        <w:t>Authorization by Board of Directors</w:t>
      </w:r>
    </w:p>
    <w:p w:rsidR="00DD6E50" w:rsidRDefault="00DD6E50">
      <w:pPr>
        <w:pStyle w:val="FAPPPolicyParaAwithNoNumber"/>
      </w:pPr>
    </w:p>
    <w:p w:rsidR="00DD6E50" w:rsidRDefault="00DD6E50">
      <w:pPr>
        <w:pStyle w:val="FAPPPolicyParaAwithNoNumber"/>
      </w:pPr>
      <w:r>
        <w:t>(a)</w:t>
      </w:r>
      <w:r>
        <w:tab/>
        <w:t>The Board of Directors authorizes the annual expenses of the company by approving the annual budget.</w:t>
      </w:r>
    </w:p>
    <w:p w:rsidR="00DD6E50" w:rsidRDefault="00DD6E50">
      <w:pPr>
        <w:pStyle w:val="FAPPPolicyParaAwithNoNumber"/>
      </w:pPr>
    </w:p>
    <w:p w:rsidR="00DD6E50" w:rsidRDefault="00DD6E50">
      <w:pPr>
        <w:pStyle w:val="FAPPPolicyParaAwithNoNumber"/>
      </w:pPr>
      <w:r>
        <w:t>(b)</w:t>
      </w:r>
      <w:r>
        <w:tab/>
      </w:r>
      <w:r w:rsidR="00E6319D">
        <w:t>Major purchases (</w:t>
      </w:r>
      <w:r w:rsidR="00E6319D" w:rsidRPr="00E6319D">
        <w:rPr>
          <w:b/>
        </w:rPr>
        <w:t>over $</w:t>
      </w:r>
      <w:r w:rsidR="00F673E8">
        <w:rPr>
          <w:b/>
        </w:rPr>
        <w:t>29</w:t>
      </w:r>
      <w:r w:rsidR="00E6319D" w:rsidRPr="00E6319D">
        <w:rPr>
          <w:b/>
        </w:rPr>
        <w:t>,</w:t>
      </w:r>
      <w:r w:rsidR="00F673E8">
        <w:rPr>
          <w:b/>
        </w:rPr>
        <w:t>999</w:t>
      </w:r>
      <w:r w:rsidR="00E6319D">
        <w:t xml:space="preserve">) that are not noted in the approved budgets may be approved by the </w:t>
      </w:r>
      <w:r w:rsidR="00E6319D">
        <w:rPr>
          <w:b/>
        </w:rPr>
        <w:t xml:space="preserve">Executive Director or </w:t>
      </w:r>
      <w:r w:rsidR="006B60C1">
        <w:rPr>
          <w:b/>
        </w:rPr>
        <w:t>Director of Corporate Services</w:t>
      </w:r>
      <w:r w:rsidR="00F673E8">
        <w:rPr>
          <w:b/>
        </w:rPr>
        <w:t>,</w:t>
      </w:r>
      <w:r w:rsidR="00E6319D">
        <w:rPr>
          <w:b/>
        </w:rPr>
        <w:t xml:space="preserve"> </w:t>
      </w:r>
      <w:r w:rsidR="00E6319D">
        <w:t>providing the purchase can be made without affecting the approved overall financial position</w:t>
      </w:r>
      <w:r w:rsidR="00F673E8">
        <w:t xml:space="preserve"> subject to the requirements of the Procurement Policy</w:t>
      </w:r>
      <w:r w:rsidR="00E6319D">
        <w:t xml:space="preserve">.  However, the </w:t>
      </w:r>
      <w:r w:rsidR="00E6319D">
        <w:rPr>
          <w:b/>
        </w:rPr>
        <w:t>Finance Committee a</w:t>
      </w:r>
      <w:r w:rsidR="009E5593">
        <w:rPr>
          <w:b/>
        </w:rPr>
        <w:t xml:space="preserve">nd the </w:t>
      </w:r>
      <w:r w:rsidRPr="009E5593">
        <w:rPr>
          <w:b/>
        </w:rPr>
        <w:t>Board of Directors</w:t>
      </w:r>
      <w:r>
        <w:t xml:space="preserve"> shall be informed</w:t>
      </w:r>
      <w:r w:rsidR="00E6319D">
        <w:t>.</w:t>
      </w:r>
      <w:r>
        <w:t xml:space="preserve"> </w:t>
      </w:r>
    </w:p>
    <w:p w:rsidR="00FB149F" w:rsidRPr="00A36510" w:rsidRDefault="00FB149F">
      <w:pPr>
        <w:pStyle w:val="FAPPPolicyParaAwithNoNumber"/>
      </w:pPr>
    </w:p>
    <w:p w:rsidR="00FB149F" w:rsidRPr="00F673E8" w:rsidRDefault="00FB149F" w:rsidP="00FB149F">
      <w:pPr>
        <w:pStyle w:val="FAPPPolicyParawithNumber"/>
        <w:rPr>
          <w:b/>
        </w:rPr>
      </w:pPr>
      <w:r w:rsidRPr="00F673E8">
        <w:t>7.05</w:t>
      </w:r>
      <w:r w:rsidRPr="00F673E8">
        <w:tab/>
      </w:r>
      <w:r w:rsidRPr="00F673E8">
        <w:rPr>
          <w:b/>
        </w:rPr>
        <w:t>Consultants and Other Contractors</w:t>
      </w:r>
    </w:p>
    <w:p w:rsidR="00FB149F" w:rsidRPr="00A36510" w:rsidRDefault="00FB149F" w:rsidP="00FB149F">
      <w:pPr>
        <w:pStyle w:val="FAPPPolicyParawithNumber"/>
        <w:rPr>
          <w:b/>
          <w:i/>
        </w:rPr>
      </w:pPr>
    </w:p>
    <w:p w:rsidR="00FB149F" w:rsidRPr="00A36510" w:rsidRDefault="00FB149F" w:rsidP="00FB149F">
      <w:pPr>
        <w:pStyle w:val="FAPPPolicyParawithNumber"/>
      </w:pPr>
      <w:r w:rsidRPr="00A36510">
        <w:rPr>
          <w:b/>
          <w:i/>
        </w:rPr>
        <w:tab/>
      </w:r>
      <w:r w:rsidRPr="00A36510">
        <w:rPr>
          <w:b/>
          <w:i/>
        </w:rPr>
        <w:tab/>
      </w:r>
      <w:r w:rsidRPr="00A36510">
        <w:t>Hospitality, incidental, or food expenses are not allowable expenses for consultants and contractors and cannot be included in any contract.</w:t>
      </w:r>
    </w:p>
    <w:p w:rsidR="00FB149F" w:rsidRDefault="00FB149F">
      <w:pPr>
        <w:pStyle w:val="FAPPPolicyParaAwithNoNumber"/>
      </w:pPr>
    </w:p>
    <w:p w:rsidR="00E6319D" w:rsidRDefault="00E6319D">
      <w:pPr>
        <w:pStyle w:val="FAPPPolicyParaAwithNoNumber"/>
      </w:pPr>
    </w:p>
    <w:p w:rsidR="00DD6E50" w:rsidRDefault="00DD6E50">
      <w:pPr>
        <w:pStyle w:val="FAPPPolicyHead1"/>
      </w:pPr>
      <w:r>
        <w:t>8</w:t>
      </w:r>
      <w:r>
        <w:tab/>
        <w:t>Attachments</w:t>
      </w:r>
    </w:p>
    <w:p w:rsidR="00DD6E50" w:rsidRDefault="00DD6E50">
      <w:pPr>
        <w:pStyle w:val="FAPPPolicyPara"/>
      </w:pPr>
      <w:r>
        <w:t>None.</w:t>
      </w:r>
    </w:p>
    <w:p w:rsidR="00DD6E50" w:rsidRDefault="00DD6E50">
      <w:pPr>
        <w:pStyle w:val="FAPPPolicyPara"/>
      </w:pPr>
    </w:p>
    <w:p w:rsidR="00DD6E50" w:rsidRDefault="00DD6E50">
      <w:pPr>
        <w:pStyle w:val="FAPPPolicyPara"/>
        <w:sectPr w:rsidR="00DD6E50" w:rsidSect="00243315">
          <w:headerReference w:type="even" r:id="rId8"/>
          <w:headerReference w:type="default" r:id="rId9"/>
          <w:footerReference w:type="even" r:id="rId10"/>
          <w:footerReference w:type="default" r:id="rId11"/>
          <w:pgSz w:w="12240" w:h="15840"/>
          <w:pgMar w:top="1440" w:right="1800" w:bottom="1440" w:left="1800" w:header="706" w:footer="706" w:gutter="0"/>
          <w:pgNumType w:start="1"/>
          <w:cols w:space="708"/>
          <w:docGrid w:linePitch="360"/>
        </w:sectPr>
      </w:pPr>
    </w:p>
    <w:p w:rsidR="00DD6E50" w:rsidRDefault="00DD6E50">
      <w:pPr>
        <w:pStyle w:val="FAPPPolicyPara"/>
      </w:pPr>
    </w:p>
    <w:sectPr w:rsidR="00DD6E50" w:rsidSect="00DE1D36">
      <w:type w:val="continuous"/>
      <w:pgSz w:w="12240" w:h="15840"/>
      <w:pgMar w:top="1440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6C9" w:rsidRDefault="007A56C9">
      <w:r>
        <w:separator/>
      </w:r>
    </w:p>
  </w:endnote>
  <w:endnote w:type="continuationSeparator" w:id="0">
    <w:p w:rsidR="007A56C9" w:rsidRDefault="007A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510" w:rsidRDefault="00A36510">
    <w:pPr>
      <w:pStyle w:val="Footer"/>
    </w:pPr>
  </w:p>
  <w:p w:rsidR="00A36510" w:rsidRDefault="00A36510">
    <w:pPr>
      <w:pStyle w:val="Footer"/>
    </w:pPr>
    <w:r>
      <w:t>2.01-</w:t>
    </w:r>
    <w:r w:rsidR="006D1E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6D1E80">
      <w:rPr>
        <w:rStyle w:val="PageNumber"/>
      </w:rPr>
      <w:fldChar w:fldCharType="separate"/>
    </w:r>
    <w:r>
      <w:rPr>
        <w:rStyle w:val="PageNumber"/>
        <w:noProof/>
      </w:rPr>
      <w:t>4</w:t>
    </w:r>
    <w:r w:rsidR="006D1E80">
      <w:rPr>
        <w:rStyle w:val="PageNumber"/>
      </w:rPr>
      <w:fldChar w:fldCharType="end"/>
    </w:r>
    <w:r w:rsidR="00B56FBD"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-62230</wp:posOffset>
              </wp:positionV>
              <wp:extent cx="5486400" cy="0"/>
              <wp:effectExtent l="9525" t="13970" r="9525" b="14605"/>
              <wp:wrapTopAndBottom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D3F7C2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9pt" to="6in,-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t63EgIAACkEAAAOAAAAZHJzL2Uyb0RvYy54bWysU8GO2jAQvVfqP1i+QxIaW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" strokeweight="1.25pt">
              <w10:wrap type="topAndBottom"/>
            </v:line>
          </w:pict>
        </mc:Fallback>
      </mc:AlternateContent>
    </w:r>
    <w:r>
      <w:tab/>
    </w:r>
    <w:r>
      <w:tab/>
    </w:r>
    <w:r>
      <w:rPr>
        <w:i/>
        <w:iCs/>
      </w:rPr>
      <w:t xml:space="preserve">Finance and Accounting </w:t>
    </w:r>
    <w:proofErr w:type="spellStart"/>
    <w:r>
      <w:rPr>
        <w:i/>
        <w:iCs/>
      </w:rPr>
      <w:t>PolicyPro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510" w:rsidRDefault="00B56FBD">
    <w:pPr>
      <w:pStyle w:val="Foo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113030</wp:posOffset>
              </wp:positionV>
              <wp:extent cx="5486400" cy="0"/>
              <wp:effectExtent l="9525" t="8255" r="9525" b="10795"/>
              <wp:wrapTopAndBottom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E3FC0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9pt" to="6in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j+xEgIAACkEAAAOAAAAZHJzL2Uyb0RvYy54bWysU8GO2jAQvVfqP1i+QxIaW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" strokeweight="1.25pt">
              <w10:wrap type="topAndBottom"/>
            </v:line>
          </w:pict>
        </mc:Fallback>
      </mc:AlternateContent>
    </w:r>
  </w:p>
  <w:p w:rsidR="00A36510" w:rsidRDefault="00A36510">
    <w:pPr>
      <w:pStyle w:val="Footer"/>
    </w:pPr>
    <w:r>
      <w:rPr>
        <w:i/>
        <w:iCs/>
      </w:rPr>
      <w:t xml:space="preserve">Finance and Accounting </w:t>
    </w:r>
    <w:proofErr w:type="spellStart"/>
    <w:r>
      <w:rPr>
        <w:i/>
        <w:iCs/>
      </w:rPr>
      <w:t>PolicyPro</w:t>
    </w:r>
    <w:proofErr w:type="spellEnd"/>
    <w:r>
      <w:tab/>
    </w:r>
    <w:r>
      <w:tab/>
      <w:t>2.01-</w:t>
    </w:r>
    <w:r w:rsidR="006D1E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6D1E80">
      <w:rPr>
        <w:rStyle w:val="PageNumber"/>
      </w:rPr>
      <w:fldChar w:fldCharType="separate"/>
    </w:r>
    <w:r w:rsidR="00B37814">
      <w:rPr>
        <w:rStyle w:val="PageNumber"/>
        <w:noProof/>
      </w:rPr>
      <w:t>4</w:t>
    </w:r>
    <w:r w:rsidR="006D1E80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6C9" w:rsidRDefault="007A56C9">
      <w:r>
        <w:separator/>
      </w:r>
    </w:p>
  </w:footnote>
  <w:footnote w:type="continuationSeparator" w:id="0">
    <w:p w:rsidR="007A56C9" w:rsidRDefault="007A5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00" w:type="dxa"/>
      <w:tblInd w:w="24" w:type="dxa"/>
      <w:tblBorders>
        <w:top w:val="single" w:sz="7" w:space="0" w:color="000000"/>
        <w:left w:val="single" w:sz="7" w:space="0" w:color="000000"/>
        <w:bottom w:val="single" w:sz="7" w:space="0" w:color="000000"/>
        <w:right w:val="single" w:sz="7" w:space="0" w:color="000000"/>
        <w:insideH w:val="single" w:sz="7" w:space="0" w:color="000000"/>
        <w:insideV w:val="single" w:sz="7" w:space="0" w:color="000000"/>
      </w:tblBorders>
      <w:tblLayout w:type="fixed"/>
      <w:tblCellMar>
        <w:left w:w="82" w:type="dxa"/>
        <w:right w:w="82" w:type="dxa"/>
      </w:tblCellMar>
      <w:tblLook w:val="0000" w:firstRow="0" w:lastRow="0" w:firstColumn="0" w:lastColumn="0" w:noHBand="0" w:noVBand="0"/>
    </w:tblPr>
    <w:tblGrid>
      <w:gridCol w:w="1190"/>
      <w:gridCol w:w="5209"/>
      <w:gridCol w:w="1157"/>
      <w:gridCol w:w="1444"/>
    </w:tblGrid>
    <w:tr w:rsidR="00A36510">
      <w:trPr>
        <w:cantSplit/>
        <w:trHeight w:hRule="exact" w:val="408"/>
      </w:trPr>
      <w:tc>
        <w:tcPr>
          <w:tcW w:w="9000" w:type="dxa"/>
          <w:gridSpan w:val="4"/>
          <w:vAlign w:val="center"/>
        </w:tcPr>
        <w:p w:rsidR="00A36510" w:rsidRDefault="00A36510">
          <w:pPr>
            <w:pStyle w:val="FHB"/>
          </w:pPr>
          <w:r>
            <w:t>STATEMENT of POLICY and PROCEDURE</w:t>
          </w:r>
        </w:p>
      </w:tc>
    </w:tr>
    <w:tr w:rsidR="00A36510">
      <w:trPr>
        <w:cantSplit/>
        <w:trHeight w:hRule="exact" w:val="408"/>
      </w:trPr>
      <w:tc>
        <w:tcPr>
          <w:tcW w:w="1190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A36510" w:rsidRDefault="00A36510">
          <w:pPr>
            <w:pStyle w:val="FHL"/>
          </w:pPr>
          <w:r>
            <w:t>Manual:</w:t>
          </w:r>
        </w:p>
      </w:tc>
      <w:tc>
        <w:tcPr>
          <w:tcW w:w="5209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A36510" w:rsidRDefault="00A36510">
          <w:pPr>
            <w:pStyle w:val="FHC"/>
          </w:pPr>
          <w:r>
            <w:t>Finance and Accounting</w:t>
          </w:r>
        </w:p>
      </w:tc>
      <w:tc>
        <w:tcPr>
          <w:tcW w:w="1157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A36510" w:rsidRDefault="00A36510">
          <w:pPr>
            <w:pStyle w:val="FHL"/>
          </w:pPr>
          <w:r>
            <w:t>SPP No.</w:t>
          </w:r>
        </w:p>
      </w:tc>
      <w:tc>
        <w:tcPr>
          <w:tcW w:w="1444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A36510" w:rsidRDefault="00A36510">
          <w:pPr>
            <w:pStyle w:val="FHB"/>
          </w:pPr>
          <w:r>
            <w:t>FN 2.01</w:t>
          </w:r>
        </w:p>
      </w:tc>
    </w:tr>
    <w:tr w:rsidR="00A36510" w:rsidTr="0058486A">
      <w:trPr>
        <w:cantSplit/>
        <w:trHeight w:hRule="exact" w:val="408"/>
      </w:trPr>
      <w:tc>
        <w:tcPr>
          <w:tcW w:w="1190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A36510" w:rsidRDefault="00A36510">
          <w:pPr>
            <w:pStyle w:val="FHL"/>
          </w:pPr>
          <w:r>
            <w:t>Section:</w:t>
          </w:r>
        </w:p>
      </w:tc>
      <w:tc>
        <w:tcPr>
          <w:tcW w:w="5209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A36510" w:rsidRDefault="00A36510">
          <w:pPr>
            <w:pStyle w:val="FHC"/>
          </w:pPr>
          <w:r>
            <w:t>Purchasing Cycle</w:t>
          </w:r>
        </w:p>
      </w:tc>
      <w:tc>
        <w:tcPr>
          <w:tcW w:w="1157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A36510" w:rsidRDefault="00A36510">
          <w:pPr>
            <w:pStyle w:val="FHL"/>
          </w:pPr>
          <w:r>
            <w:t>Issued:</w:t>
          </w:r>
        </w:p>
      </w:tc>
      <w:tc>
        <w:tcPr>
          <w:tcW w:w="1444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A36510" w:rsidRDefault="00A36510" w:rsidP="0058486A">
          <w:pPr>
            <w:pStyle w:val="FHC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Oct. 6, 2010</w:t>
          </w:r>
        </w:p>
        <w:p w:rsidR="00A36510" w:rsidRDefault="00A36510" w:rsidP="0058486A">
          <w:pPr>
            <w:pStyle w:val="FHC"/>
          </w:pPr>
        </w:p>
      </w:tc>
    </w:tr>
    <w:tr w:rsidR="00A36510" w:rsidTr="0058486A">
      <w:trPr>
        <w:cantSplit/>
        <w:trHeight w:hRule="exact" w:val="408"/>
      </w:trPr>
      <w:tc>
        <w:tcPr>
          <w:tcW w:w="1190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A36510" w:rsidRDefault="00A36510">
          <w:pPr>
            <w:pStyle w:val="FHL"/>
          </w:pPr>
          <w:r>
            <w:t>Subject:</w:t>
          </w:r>
        </w:p>
      </w:tc>
      <w:tc>
        <w:tcPr>
          <w:tcW w:w="5209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A36510" w:rsidRDefault="00A36510">
          <w:pPr>
            <w:pStyle w:val="FHB"/>
          </w:pPr>
          <w:r>
            <w:t>EXPENSE AUTHORIZATION</w:t>
          </w:r>
        </w:p>
      </w:tc>
      <w:tc>
        <w:tcPr>
          <w:tcW w:w="1157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A36510" w:rsidRDefault="00A36510">
          <w:pPr>
            <w:pStyle w:val="FHL"/>
          </w:pPr>
          <w:r>
            <w:t>Effective:</w:t>
          </w:r>
        </w:p>
      </w:tc>
      <w:tc>
        <w:tcPr>
          <w:tcW w:w="1444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A36510" w:rsidRDefault="00A36510" w:rsidP="0058486A">
          <w:pPr>
            <w:pStyle w:val="FHC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Jun. 7, 2010</w:t>
          </w:r>
        </w:p>
        <w:p w:rsidR="00A36510" w:rsidRDefault="00A36510" w:rsidP="0058486A">
          <w:pPr>
            <w:pStyle w:val="FHC"/>
          </w:pPr>
        </w:p>
      </w:tc>
    </w:tr>
    <w:tr w:rsidR="00A36510">
      <w:trPr>
        <w:cantSplit/>
        <w:trHeight w:hRule="exact" w:val="408"/>
      </w:trPr>
      <w:tc>
        <w:tcPr>
          <w:tcW w:w="1190" w:type="dxa"/>
          <w:vMerge w:val="restart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A36510" w:rsidRDefault="00A36510">
          <w:pPr>
            <w:pStyle w:val="FHL"/>
          </w:pPr>
          <w:r>
            <w:t>Issue to:</w:t>
          </w:r>
        </w:p>
      </w:tc>
      <w:tc>
        <w:tcPr>
          <w:tcW w:w="5209" w:type="dxa"/>
          <w:vMerge w:val="restart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A36510" w:rsidRDefault="00A36510">
          <w:pPr>
            <w:pStyle w:val="FHC"/>
          </w:pPr>
          <w:r>
            <w:t>All Manual Holders</w:t>
          </w:r>
        </w:p>
      </w:tc>
      <w:tc>
        <w:tcPr>
          <w:tcW w:w="1157" w:type="dxa"/>
          <w:tcBorders>
            <w:top w:val="single" w:sz="7" w:space="0" w:color="000000"/>
            <w:left w:val="single" w:sz="7" w:space="0" w:color="000000"/>
            <w:bottom w:val="double" w:sz="7" w:space="0" w:color="000000"/>
            <w:right w:val="single" w:sz="7" w:space="0" w:color="000000"/>
          </w:tcBorders>
          <w:vAlign w:val="center"/>
        </w:tcPr>
        <w:p w:rsidR="00A36510" w:rsidRDefault="00A36510">
          <w:pPr>
            <w:pStyle w:val="FHL"/>
          </w:pPr>
          <w:r>
            <w:t>Page:</w:t>
          </w:r>
        </w:p>
      </w:tc>
      <w:tc>
        <w:tcPr>
          <w:tcW w:w="1444" w:type="dxa"/>
          <w:tcBorders>
            <w:top w:val="single" w:sz="7" w:space="0" w:color="000000"/>
            <w:left w:val="single" w:sz="7" w:space="0" w:color="000000"/>
            <w:bottom w:val="double" w:sz="7" w:space="0" w:color="000000"/>
            <w:right w:val="single" w:sz="7" w:space="0" w:color="000000"/>
          </w:tcBorders>
          <w:vAlign w:val="center"/>
        </w:tcPr>
        <w:p w:rsidR="00A36510" w:rsidRDefault="006D1E80">
          <w:pPr>
            <w:widowControl w:val="0"/>
            <w:tabs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before="27" w:after="45"/>
            <w:jc w:val="center"/>
            <w:rPr>
              <w:rFonts w:ascii="Arial" w:hAnsi="Arial" w:cs="Arial"/>
              <w:sz w:val="20"/>
              <w:lang w:val="en-CA"/>
            </w:rPr>
          </w:pPr>
          <w:r>
            <w:rPr>
              <w:rStyle w:val="PageNumber"/>
              <w:rFonts w:ascii="Arial" w:hAnsi="Arial" w:cs="Arial"/>
              <w:sz w:val="20"/>
            </w:rPr>
            <w:fldChar w:fldCharType="begin"/>
          </w:r>
          <w:r w:rsidR="00A36510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A36510">
            <w:rPr>
              <w:rStyle w:val="PageNumber"/>
              <w:rFonts w:ascii="Arial" w:hAnsi="Arial" w:cs="Arial"/>
              <w:noProof/>
              <w:sz w:val="20"/>
            </w:rPr>
            <w:t>4</w:t>
          </w:r>
          <w:r>
            <w:rPr>
              <w:rStyle w:val="PageNumber"/>
              <w:rFonts w:ascii="Arial" w:hAnsi="Arial" w:cs="Arial"/>
              <w:sz w:val="20"/>
            </w:rPr>
            <w:fldChar w:fldCharType="end"/>
          </w:r>
          <w:r w:rsidR="00A36510">
            <w:rPr>
              <w:rStyle w:val="PageNumber"/>
              <w:rFonts w:ascii="Arial" w:hAnsi="Arial" w:cs="Arial"/>
              <w:sz w:val="20"/>
            </w:rPr>
            <w:t xml:space="preserve"> of </w:t>
          </w:r>
          <w:r>
            <w:rPr>
              <w:rStyle w:val="PageNumber"/>
              <w:rFonts w:ascii="Arial" w:hAnsi="Arial" w:cs="Arial"/>
              <w:sz w:val="20"/>
            </w:rPr>
            <w:fldChar w:fldCharType="begin"/>
          </w:r>
          <w:r w:rsidR="00A36510">
            <w:rPr>
              <w:rStyle w:val="PageNumber"/>
              <w:rFonts w:ascii="Arial" w:hAnsi="Arial" w:cs="Arial"/>
              <w:sz w:val="20"/>
            </w:rPr>
            <w:instrText xml:space="preserve"> NUMPAGES </w:instrText>
          </w:r>
          <w:r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A36510">
            <w:rPr>
              <w:rStyle w:val="PageNumber"/>
              <w:rFonts w:ascii="Arial" w:hAnsi="Arial" w:cs="Arial"/>
              <w:noProof/>
              <w:sz w:val="20"/>
            </w:rPr>
            <w:t>4</w:t>
          </w:r>
          <w:r>
            <w:rPr>
              <w:rStyle w:val="PageNumber"/>
              <w:rFonts w:ascii="Arial" w:hAnsi="Arial" w:cs="Arial"/>
              <w:sz w:val="20"/>
            </w:rPr>
            <w:fldChar w:fldCharType="end"/>
          </w:r>
        </w:p>
      </w:tc>
    </w:tr>
    <w:tr w:rsidR="00A36510">
      <w:trPr>
        <w:cantSplit/>
        <w:trHeight w:hRule="exact" w:val="408"/>
      </w:trPr>
      <w:tc>
        <w:tcPr>
          <w:tcW w:w="1190" w:type="dxa"/>
          <w:vMerge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A36510" w:rsidRDefault="00A36510">
          <w:pPr>
            <w:pStyle w:val="FHL"/>
          </w:pPr>
        </w:p>
      </w:tc>
      <w:tc>
        <w:tcPr>
          <w:tcW w:w="5209" w:type="dxa"/>
          <w:vMerge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double" w:sz="7" w:space="0" w:color="000000"/>
          </w:tcBorders>
          <w:vAlign w:val="center"/>
        </w:tcPr>
        <w:p w:rsidR="00A36510" w:rsidRDefault="00A36510">
          <w:pPr>
            <w:pStyle w:val="FHC"/>
          </w:pPr>
        </w:p>
      </w:tc>
      <w:tc>
        <w:tcPr>
          <w:tcW w:w="1157" w:type="dxa"/>
          <w:tcBorders>
            <w:top w:val="double" w:sz="7" w:space="0" w:color="000000"/>
            <w:left w:val="doub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A36510" w:rsidRDefault="00A36510">
          <w:pPr>
            <w:pStyle w:val="FHL"/>
          </w:pPr>
          <w:r>
            <w:t>Replaces:</w:t>
          </w:r>
        </w:p>
      </w:tc>
      <w:tc>
        <w:tcPr>
          <w:tcW w:w="1444" w:type="dxa"/>
          <w:tcBorders>
            <w:top w:val="doub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A36510" w:rsidRDefault="00A36510">
          <w:pPr>
            <w:pStyle w:val="FHB"/>
          </w:pPr>
        </w:p>
      </w:tc>
    </w:tr>
    <w:tr w:rsidR="00A36510">
      <w:trPr>
        <w:cantSplit/>
        <w:trHeight w:hRule="exact" w:val="408"/>
      </w:trPr>
      <w:tc>
        <w:tcPr>
          <w:tcW w:w="1190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A36510" w:rsidRDefault="00A36510">
          <w:pPr>
            <w:pStyle w:val="FHL"/>
          </w:pPr>
          <w:r>
            <w:t>Issued by:</w:t>
          </w:r>
        </w:p>
      </w:tc>
      <w:tc>
        <w:tcPr>
          <w:tcW w:w="5209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double" w:sz="7" w:space="0" w:color="000000"/>
          </w:tcBorders>
          <w:vAlign w:val="center"/>
        </w:tcPr>
        <w:p w:rsidR="00A36510" w:rsidRDefault="00A36510">
          <w:pPr>
            <w:pStyle w:val="FHC"/>
          </w:pPr>
          <w:r>
            <w:t>Director of Finance and Administration</w:t>
          </w:r>
        </w:p>
      </w:tc>
      <w:tc>
        <w:tcPr>
          <w:tcW w:w="1157" w:type="dxa"/>
          <w:tcBorders>
            <w:top w:val="single" w:sz="7" w:space="0" w:color="000000"/>
            <w:left w:val="doub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A36510" w:rsidRDefault="00A36510">
          <w:pPr>
            <w:pStyle w:val="FHL"/>
          </w:pPr>
          <w:r>
            <w:t>Dated:</w:t>
          </w:r>
        </w:p>
      </w:tc>
      <w:tc>
        <w:tcPr>
          <w:tcW w:w="1444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A36510" w:rsidRDefault="00A36510">
          <w:pPr>
            <w:pStyle w:val="FHC"/>
          </w:pPr>
        </w:p>
      </w:tc>
    </w:tr>
  </w:tbl>
  <w:p w:rsidR="00A36510" w:rsidRDefault="00A365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00" w:type="dxa"/>
      <w:tblInd w:w="24" w:type="dxa"/>
      <w:tblBorders>
        <w:top w:val="single" w:sz="7" w:space="0" w:color="000000"/>
        <w:left w:val="single" w:sz="7" w:space="0" w:color="000000"/>
        <w:bottom w:val="single" w:sz="7" w:space="0" w:color="000000"/>
        <w:right w:val="single" w:sz="7" w:space="0" w:color="000000"/>
        <w:insideH w:val="single" w:sz="7" w:space="0" w:color="000000"/>
        <w:insideV w:val="single" w:sz="7" w:space="0" w:color="000000"/>
      </w:tblBorders>
      <w:tblLayout w:type="fixed"/>
      <w:tblCellMar>
        <w:left w:w="82" w:type="dxa"/>
        <w:right w:w="82" w:type="dxa"/>
      </w:tblCellMar>
      <w:tblLook w:val="0000" w:firstRow="0" w:lastRow="0" w:firstColumn="0" w:lastColumn="0" w:noHBand="0" w:noVBand="0"/>
    </w:tblPr>
    <w:tblGrid>
      <w:gridCol w:w="1190"/>
      <w:gridCol w:w="5209"/>
      <w:gridCol w:w="1157"/>
      <w:gridCol w:w="1444"/>
    </w:tblGrid>
    <w:tr w:rsidR="00A36510">
      <w:trPr>
        <w:cantSplit/>
        <w:trHeight w:hRule="exact" w:val="408"/>
      </w:trPr>
      <w:tc>
        <w:tcPr>
          <w:tcW w:w="9000" w:type="dxa"/>
          <w:gridSpan w:val="4"/>
          <w:vAlign w:val="center"/>
        </w:tcPr>
        <w:p w:rsidR="00A36510" w:rsidRDefault="00A36510">
          <w:pPr>
            <w:pStyle w:val="FHB"/>
          </w:pPr>
          <w:r>
            <w:t>OPERATIONAL POLICY and PROCEDURE STATEMENT</w:t>
          </w:r>
        </w:p>
      </w:tc>
    </w:tr>
    <w:tr w:rsidR="00A36510">
      <w:trPr>
        <w:cantSplit/>
        <w:trHeight w:hRule="exact" w:val="408"/>
      </w:trPr>
      <w:tc>
        <w:tcPr>
          <w:tcW w:w="1190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A36510" w:rsidRDefault="00A36510">
          <w:pPr>
            <w:pStyle w:val="FHL"/>
          </w:pPr>
          <w:r>
            <w:t>Manual:</w:t>
          </w:r>
        </w:p>
      </w:tc>
      <w:tc>
        <w:tcPr>
          <w:tcW w:w="5209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A36510" w:rsidRDefault="00A36510" w:rsidP="00CF43E3">
          <w:pPr>
            <w:pStyle w:val="FHC"/>
          </w:pPr>
          <w:r>
            <w:t>Finance</w:t>
          </w:r>
        </w:p>
      </w:tc>
      <w:tc>
        <w:tcPr>
          <w:tcW w:w="1157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A36510" w:rsidRDefault="00A36510">
          <w:pPr>
            <w:pStyle w:val="FHL"/>
          </w:pPr>
          <w:r>
            <w:t>SPP No.</w:t>
          </w:r>
        </w:p>
      </w:tc>
      <w:tc>
        <w:tcPr>
          <w:tcW w:w="1444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A36510" w:rsidRDefault="00A36510">
          <w:pPr>
            <w:pStyle w:val="FHB"/>
          </w:pPr>
          <w:r>
            <w:t>FN 2.01</w:t>
          </w:r>
        </w:p>
      </w:tc>
    </w:tr>
    <w:tr w:rsidR="00A36510" w:rsidTr="00CD2BD4">
      <w:trPr>
        <w:cantSplit/>
        <w:trHeight w:hRule="exact" w:val="408"/>
      </w:trPr>
      <w:tc>
        <w:tcPr>
          <w:tcW w:w="1190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A36510" w:rsidRDefault="00A36510">
          <w:pPr>
            <w:pStyle w:val="FHL"/>
          </w:pPr>
          <w:r>
            <w:t>Section:</w:t>
          </w:r>
        </w:p>
      </w:tc>
      <w:tc>
        <w:tcPr>
          <w:tcW w:w="5209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A36510" w:rsidRDefault="00A36510">
          <w:pPr>
            <w:pStyle w:val="FHC"/>
          </w:pPr>
          <w:r>
            <w:t>Purchasing Cycle</w:t>
          </w:r>
        </w:p>
      </w:tc>
      <w:tc>
        <w:tcPr>
          <w:tcW w:w="1157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A36510" w:rsidRDefault="00A36510">
          <w:pPr>
            <w:pStyle w:val="FHL"/>
          </w:pPr>
          <w:r>
            <w:t>Issued:</w:t>
          </w:r>
        </w:p>
      </w:tc>
      <w:tc>
        <w:tcPr>
          <w:tcW w:w="1444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</w:tcPr>
        <w:p w:rsidR="00A36510" w:rsidRDefault="00A36510" w:rsidP="00696665">
          <w:pPr>
            <w:pStyle w:val="FHC"/>
          </w:pPr>
          <w:r>
            <w:t>Oct. 6, 2010</w:t>
          </w:r>
        </w:p>
        <w:p w:rsidR="00A36510" w:rsidRPr="00D17369" w:rsidRDefault="00A36510" w:rsidP="00CD2BD4">
          <w:pPr>
            <w:pStyle w:val="FHC"/>
          </w:pPr>
        </w:p>
      </w:tc>
    </w:tr>
    <w:tr w:rsidR="00A36510" w:rsidTr="00CD2BD4">
      <w:trPr>
        <w:cantSplit/>
        <w:trHeight w:hRule="exact" w:val="408"/>
      </w:trPr>
      <w:tc>
        <w:tcPr>
          <w:tcW w:w="1190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A36510" w:rsidRDefault="00A36510">
          <w:pPr>
            <w:pStyle w:val="FHL"/>
          </w:pPr>
          <w:r>
            <w:t>Subject:</w:t>
          </w:r>
        </w:p>
      </w:tc>
      <w:tc>
        <w:tcPr>
          <w:tcW w:w="5209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A36510" w:rsidRDefault="00A36510">
          <w:pPr>
            <w:pStyle w:val="FHB"/>
          </w:pPr>
          <w:r>
            <w:t>EXPENSE AUTHORIZATION</w:t>
          </w:r>
        </w:p>
      </w:tc>
      <w:tc>
        <w:tcPr>
          <w:tcW w:w="1157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A36510" w:rsidRDefault="00A36510">
          <w:pPr>
            <w:pStyle w:val="FHL"/>
          </w:pPr>
        </w:p>
      </w:tc>
      <w:tc>
        <w:tcPr>
          <w:tcW w:w="1444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</w:tcPr>
        <w:p w:rsidR="00A36510" w:rsidRPr="00D17369" w:rsidRDefault="00A36510" w:rsidP="00B37814">
          <w:pPr>
            <w:pStyle w:val="FHC"/>
          </w:pPr>
        </w:p>
      </w:tc>
    </w:tr>
    <w:tr w:rsidR="00A36510">
      <w:trPr>
        <w:cantSplit/>
        <w:trHeight w:hRule="exact" w:val="408"/>
      </w:trPr>
      <w:tc>
        <w:tcPr>
          <w:tcW w:w="1190" w:type="dxa"/>
          <w:vMerge w:val="restart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A36510" w:rsidRDefault="00A36510">
          <w:pPr>
            <w:pStyle w:val="FHL"/>
          </w:pPr>
          <w:r>
            <w:t>Issue to:</w:t>
          </w:r>
        </w:p>
      </w:tc>
      <w:tc>
        <w:tcPr>
          <w:tcW w:w="5209" w:type="dxa"/>
          <w:vMerge w:val="restart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A36510" w:rsidRDefault="00A36510">
          <w:pPr>
            <w:pStyle w:val="FHC"/>
          </w:pPr>
          <w:r>
            <w:t>All Manual Holders</w:t>
          </w:r>
        </w:p>
      </w:tc>
      <w:tc>
        <w:tcPr>
          <w:tcW w:w="1157" w:type="dxa"/>
          <w:tcBorders>
            <w:top w:val="single" w:sz="7" w:space="0" w:color="000000"/>
            <w:left w:val="single" w:sz="7" w:space="0" w:color="000000"/>
            <w:bottom w:val="double" w:sz="7" w:space="0" w:color="000000"/>
            <w:right w:val="single" w:sz="7" w:space="0" w:color="000000"/>
          </w:tcBorders>
          <w:vAlign w:val="center"/>
        </w:tcPr>
        <w:p w:rsidR="00A36510" w:rsidRDefault="00A36510">
          <w:pPr>
            <w:pStyle w:val="FHL"/>
          </w:pPr>
          <w:r>
            <w:t xml:space="preserve">Page: </w:t>
          </w:r>
        </w:p>
      </w:tc>
      <w:tc>
        <w:tcPr>
          <w:tcW w:w="1444" w:type="dxa"/>
          <w:tcBorders>
            <w:top w:val="single" w:sz="7" w:space="0" w:color="000000"/>
            <w:left w:val="single" w:sz="7" w:space="0" w:color="000000"/>
            <w:bottom w:val="double" w:sz="7" w:space="0" w:color="000000"/>
            <w:right w:val="single" w:sz="7" w:space="0" w:color="000000"/>
          </w:tcBorders>
          <w:vAlign w:val="center"/>
        </w:tcPr>
        <w:p w:rsidR="00A36510" w:rsidRDefault="006D1E80">
          <w:pPr>
            <w:widowControl w:val="0"/>
            <w:tabs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before="27" w:after="45"/>
            <w:jc w:val="center"/>
            <w:rPr>
              <w:rFonts w:ascii="Arial" w:hAnsi="Arial" w:cs="Arial"/>
              <w:sz w:val="20"/>
              <w:lang w:val="en-CA"/>
            </w:rPr>
          </w:pPr>
          <w:r>
            <w:rPr>
              <w:rStyle w:val="PageNumber"/>
              <w:rFonts w:ascii="Arial" w:hAnsi="Arial" w:cs="Arial"/>
              <w:sz w:val="20"/>
            </w:rPr>
            <w:fldChar w:fldCharType="begin"/>
          </w:r>
          <w:r w:rsidR="00A36510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B37814">
            <w:rPr>
              <w:rStyle w:val="PageNumber"/>
              <w:rFonts w:ascii="Arial" w:hAnsi="Arial" w:cs="Arial"/>
              <w:noProof/>
              <w:sz w:val="20"/>
            </w:rPr>
            <w:t>4</w:t>
          </w:r>
          <w:r>
            <w:rPr>
              <w:rStyle w:val="PageNumber"/>
              <w:rFonts w:ascii="Arial" w:hAnsi="Arial" w:cs="Arial"/>
              <w:sz w:val="20"/>
            </w:rPr>
            <w:fldChar w:fldCharType="end"/>
          </w:r>
          <w:r w:rsidR="00A36510">
            <w:rPr>
              <w:rStyle w:val="PageNumber"/>
              <w:rFonts w:ascii="Arial" w:hAnsi="Arial" w:cs="Arial"/>
              <w:sz w:val="20"/>
            </w:rPr>
            <w:t xml:space="preserve"> of </w:t>
          </w:r>
          <w:r>
            <w:rPr>
              <w:rStyle w:val="PageNumber"/>
              <w:rFonts w:ascii="Arial" w:hAnsi="Arial" w:cs="Arial"/>
              <w:sz w:val="20"/>
            </w:rPr>
            <w:fldChar w:fldCharType="begin"/>
          </w:r>
          <w:r w:rsidR="00A36510">
            <w:rPr>
              <w:rStyle w:val="PageNumber"/>
              <w:rFonts w:ascii="Arial" w:hAnsi="Arial" w:cs="Arial"/>
              <w:sz w:val="20"/>
            </w:rPr>
            <w:instrText xml:space="preserve"> NUMPAGES </w:instrText>
          </w:r>
          <w:r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B37814">
            <w:rPr>
              <w:rStyle w:val="PageNumber"/>
              <w:rFonts w:ascii="Arial" w:hAnsi="Arial" w:cs="Arial"/>
              <w:noProof/>
              <w:sz w:val="20"/>
            </w:rPr>
            <w:t>4</w:t>
          </w:r>
          <w:r>
            <w:rPr>
              <w:rStyle w:val="PageNumber"/>
              <w:rFonts w:ascii="Arial" w:hAnsi="Arial" w:cs="Arial"/>
              <w:sz w:val="20"/>
            </w:rPr>
            <w:fldChar w:fldCharType="end"/>
          </w:r>
        </w:p>
      </w:tc>
    </w:tr>
    <w:tr w:rsidR="00A36510">
      <w:trPr>
        <w:cantSplit/>
        <w:trHeight w:hRule="exact" w:val="408"/>
      </w:trPr>
      <w:tc>
        <w:tcPr>
          <w:tcW w:w="1190" w:type="dxa"/>
          <w:vMerge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A36510" w:rsidRDefault="00A36510">
          <w:pPr>
            <w:pStyle w:val="FHL"/>
          </w:pPr>
        </w:p>
      </w:tc>
      <w:tc>
        <w:tcPr>
          <w:tcW w:w="5209" w:type="dxa"/>
          <w:vMerge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double" w:sz="7" w:space="0" w:color="000000"/>
          </w:tcBorders>
          <w:vAlign w:val="center"/>
        </w:tcPr>
        <w:p w:rsidR="00A36510" w:rsidRDefault="00A36510">
          <w:pPr>
            <w:pStyle w:val="FHC"/>
          </w:pPr>
        </w:p>
      </w:tc>
      <w:tc>
        <w:tcPr>
          <w:tcW w:w="1157" w:type="dxa"/>
          <w:tcBorders>
            <w:top w:val="double" w:sz="7" w:space="0" w:color="000000"/>
            <w:left w:val="doub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A36510" w:rsidRDefault="00A36510">
          <w:pPr>
            <w:pStyle w:val="FHL"/>
          </w:pPr>
          <w:r>
            <w:t>Replaces:</w:t>
          </w:r>
        </w:p>
      </w:tc>
      <w:tc>
        <w:tcPr>
          <w:tcW w:w="1444" w:type="dxa"/>
          <w:tcBorders>
            <w:top w:val="doub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A36510" w:rsidRPr="00705D58" w:rsidRDefault="00B37814" w:rsidP="00705D58">
          <w:pPr>
            <w:pStyle w:val="FHB"/>
            <w:jc w:val="left"/>
            <w:rPr>
              <w:b w:val="0"/>
            </w:rPr>
          </w:pPr>
          <w:r>
            <w:rPr>
              <w:b w:val="0"/>
            </w:rPr>
            <w:t>Jun. 28,2021</w:t>
          </w:r>
        </w:p>
      </w:tc>
    </w:tr>
    <w:tr w:rsidR="00A36510">
      <w:trPr>
        <w:cantSplit/>
        <w:trHeight w:hRule="exact" w:val="408"/>
      </w:trPr>
      <w:tc>
        <w:tcPr>
          <w:tcW w:w="1190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A36510" w:rsidRDefault="00A36510">
          <w:pPr>
            <w:pStyle w:val="FHL"/>
          </w:pPr>
          <w:r>
            <w:t>Issued by:</w:t>
          </w:r>
        </w:p>
      </w:tc>
      <w:tc>
        <w:tcPr>
          <w:tcW w:w="5209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double" w:sz="7" w:space="0" w:color="000000"/>
          </w:tcBorders>
          <w:vAlign w:val="center"/>
        </w:tcPr>
        <w:p w:rsidR="00A36510" w:rsidRDefault="00A36510" w:rsidP="00CA17A5">
          <w:pPr>
            <w:pStyle w:val="FHC"/>
          </w:pPr>
          <w:r>
            <w:t xml:space="preserve">Director of </w:t>
          </w:r>
          <w:r w:rsidR="00CA17A5">
            <w:t>Corporate Services</w:t>
          </w:r>
        </w:p>
      </w:tc>
      <w:tc>
        <w:tcPr>
          <w:tcW w:w="1157" w:type="dxa"/>
          <w:tcBorders>
            <w:top w:val="single" w:sz="7" w:space="0" w:color="000000"/>
            <w:left w:val="doub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A36510" w:rsidRDefault="00A36510">
          <w:pPr>
            <w:pStyle w:val="FHL"/>
          </w:pPr>
          <w:r>
            <w:t>Dated:</w:t>
          </w:r>
        </w:p>
      </w:tc>
      <w:tc>
        <w:tcPr>
          <w:tcW w:w="1444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vAlign w:val="center"/>
        </w:tcPr>
        <w:p w:rsidR="00A36510" w:rsidRDefault="00B37814" w:rsidP="0047736F">
          <w:pPr>
            <w:pStyle w:val="FHC"/>
          </w:pPr>
          <w:r>
            <w:t>April 15, 2024</w:t>
          </w:r>
        </w:p>
      </w:tc>
    </w:tr>
  </w:tbl>
  <w:p w:rsidR="00A36510" w:rsidRDefault="00A365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12F7A"/>
    <w:multiLevelType w:val="multilevel"/>
    <w:tmpl w:val="C1043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Zero"/>
      <w:lvlText w:val="%1.%2"/>
      <w:lvlJc w:val="left"/>
      <w:pPr>
        <w:tabs>
          <w:tab w:val="num" w:pos="1512"/>
        </w:tabs>
        <w:ind w:left="1512" w:hanging="1152"/>
      </w:pPr>
      <w:rPr>
        <w:rFonts w:ascii="Arial" w:hAnsi="Arial" w:hint="default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76"/>
      </w:pPr>
      <w:rPr>
        <w:rFonts w:ascii="Arial" w:hAnsi="Arial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22276398"/>
    <w:multiLevelType w:val="hybridMultilevel"/>
    <w:tmpl w:val="2B2489C8"/>
    <w:lvl w:ilvl="0" w:tplc="5EA42768">
      <w:start w:val="3"/>
      <w:numFmt w:val="lowerLetter"/>
      <w:lvlText w:val="(%1)"/>
      <w:lvlJc w:val="left"/>
      <w:pPr>
        <w:tabs>
          <w:tab w:val="num" w:pos="1267"/>
        </w:tabs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7"/>
        </w:tabs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7"/>
        </w:tabs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7"/>
        </w:tabs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7"/>
        </w:tabs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7"/>
        </w:tabs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7"/>
        </w:tabs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7"/>
        </w:tabs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7"/>
        </w:tabs>
        <w:ind w:left="7027" w:hanging="180"/>
      </w:pPr>
    </w:lvl>
  </w:abstractNum>
  <w:abstractNum w:abstractNumId="2" w15:restartNumberingAfterBreak="0">
    <w:nsid w:val="2A06745A"/>
    <w:multiLevelType w:val="hybridMultilevel"/>
    <w:tmpl w:val="FA24FFF8"/>
    <w:lvl w:ilvl="0" w:tplc="71428C5E">
      <w:start w:val="1"/>
      <w:numFmt w:val="bullet"/>
      <w:pStyle w:val="IntroBullet2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3DDE3824"/>
    <w:multiLevelType w:val="hybridMultilevel"/>
    <w:tmpl w:val="08E488FC"/>
    <w:lvl w:ilvl="0" w:tplc="409C299E">
      <w:start w:val="1"/>
      <w:numFmt w:val="lowerLetter"/>
      <w:lvlText w:val="(%1)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" w15:restartNumberingAfterBreak="0">
    <w:nsid w:val="41D55BB1"/>
    <w:multiLevelType w:val="hybridMultilevel"/>
    <w:tmpl w:val="F334C1F2"/>
    <w:lvl w:ilvl="0" w:tplc="71BEF934">
      <w:start w:val="3"/>
      <w:numFmt w:val="lowerLetter"/>
      <w:lvlText w:val="(%1)"/>
      <w:lvlJc w:val="left"/>
      <w:pPr>
        <w:tabs>
          <w:tab w:val="num" w:pos="1267"/>
        </w:tabs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7"/>
        </w:tabs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7"/>
        </w:tabs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7"/>
        </w:tabs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7"/>
        </w:tabs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7"/>
        </w:tabs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7"/>
        </w:tabs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7"/>
        </w:tabs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7"/>
        </w:tabs>
        <w:ind w:left="7027" w:hanging="180"/>
      </w:pPr>
    </w:lvl>
  </w:abstractNum>
  <w:abstractNum w:abstractNumId="5" w15:restartNumberingAfterBreak="0">
    <w:nsid w:val="42447F3E"/>
    <w:multiLevelType w:val="multilevel"/>
    <w:tmpl w:val="75F483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pStyle w:val="BlockText"/>
      <w:lvlText w:val="%1.%2"/>
      <w:lvlJc w:val="left"/>
      <w:pPr>
        <w:tabs>
          <w:tab w:val="num" w:pos="1512"/>
        </w:tabs>
        <w:ind w:left="1512" w:hanging="1152"/>
      </w:pPr>
      <w:rPr>
        <w:rFonts w:ascii="Arial" w:hAnsi="Arial" w:hint="default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43E15E79"/>
    <w:multiLevelType w:val="hybridMultilevel"/>
    <w:tmpl w:val="6AC6C5B8"/>
    <w:lvl w:ilvl="0" w:tplc="2CC4B404">
      <w:start w:val="1"/>
      <w:numFmt w:val="lowerLetter"/>
      <w:lvlText w:val="(%1)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7" w15:restartNumberingAfterBreak="0">
    <w:nsid w:val="5AAB0BE9"/>
    <w:multiLevelType w:val="multilevel"/>
    <w:tmpl w:val="C1043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Zero"/>
      <w:lvlText w:val="%1.%2"/>
      <w:lvlJc w:val="left"/>
      <w:pPr>
        <w:tabs>
          <w:tab w:val="num" w:pos="1512"/>
        </w:tabs>
        <w:ind w:left="1512" w:hanging="1152"/>
      </w:pPr>
      <w:rPr>
        <w:rFonts w:ascii="Arial" w:hAnsi="Arial" w:hint="default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76"/>
      </w:pPr>
      <w:rPr>
        <w:rFonts w:ascii="Arial" w:hAnsi="Arial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5BB2076F"/>
    <w:multiLevelType w:val="hybridMultilevel"/>
    <w:tmpl w:val="7A22D9CE"/>
    <w:lvl w:ilvl="0" w:tplc="C9067CB4">
      <w:start w:val="1"/>
      <w:numFmt w:val="bullet"/>
      <w:pStyle w:val="IntroBullet2Special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5ED60185"/>
    <w:multiLevelType w:val="hybridMultilevel"/>
    <w:tmpl w:val="93A0C48C"/>
    <w:lvl w:ilvl="0" w:tplc="771028B8">
      <w:start w:val="1"/>
      <w:numFmt w:val="lowerLetter"/>
      <w:lvlText w:val="(%1)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0" w15:restartNumberingAfterBreak="0">
    <w:nsid w:val="622B4F56"/>
    <w:multiLevelType w:val="hybridMultilevel"/>
    <w:tmpl w:val="2CEE2EF8"/>
    <w:lvl w:ilvl="0" w:tplc="8DD00E5A">
      <w:start w:val="1"/>
      <w:numFmt w:val="decimal"/>
      <w:pStyle w:val="IntroBulletNumber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66313A2C"/>
    <w:multiLevelType w:val="hybridMultilevel"/>
    <w:tmpl w:val="92CAF932"/>
    <w:lvl w:ilvl="0" w:tplc="0B90FE70">
      <w:start w:val="1"/>
      <w:numFmt w:val="bullet"/>
      <w:pStyle w:val="PolicyPara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688753A4"/>
    <w:multiLevelType w:val="hybridMultilevel"/>
    <w:tmpl w:val="CA468630"/>
    <w:lvl w:ilvl="0" w:tplc="F8DA84A8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70B23354"/>
    <w:multiLevelType w:val="hybridMultilevel"/>
    <w:tmpl w:val="B832D6C2"/>
    <w:lvl w:ilvl="0" w:tplc="59EAEBA2">
      <w:start w:val="1"/>
      <w:numFmt w:val="bullet"/>
      <w:pStyle w:val="IntroBullet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72917A2A"/>
    <w:multiLevelType w:val="hybridMultilevel"/>
    <w:tmpl w:val="3A9E41D2"/>
    <w:lvl w:ilvl="0" w:tplc="44B4FE6E">
      <w:start w:val="1"/>
      <w:numFmt w:val="bullet"/>
      <w:pStyle w:val="PolicyParaANoNumber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756C78F2"/>
    <w:multiLevelType w:val="hybridMultilevel"/>
    <w:tmpl w:val="9522C602"/>
    <w:lvl w:ilvl="0" w:tplc="897017F0">
      <w:start w:val="2"/>
      <w:numFmt w:val="lowerLetter"/>
      <w:lvlText w:val="(%1)"/>
      <w:lvlJc w:val="left"/>
      <w:pPr>
        <w:tabs>
          <w:tab w:val="num" w:pos="1267"/>
        </w:tabs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7"/>
        </w:tabs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7"/>
        </w:tabs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7"/>
        </w:tabs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7"/>
        </w:tabs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7"/>
        </w:tabs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7"/>
        </w:tabs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7"/>
        </w:tabs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7"/>
        </w:tabs>
        <w:ind w:left="7027" w:hanging="180"/>
      </w:p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10"/>
  </w:num>
  <w:num w:numId="5">
    <w:abstractNumId w:val="14"/>
  </w:num>
  <w:num w:numId="6">
    <w:abstractNumId w:val="11"/>
  </w:num>
  <w:num w:numId="7">
    <w:abstractNumId w:val="2"/>
  </w:num>
  <w:num w:numId="8">
    <w:abstractNumId w:val="0"/>
  </w:num>
  <w:num w:numId="9">
    <w:abstractNumId w:val="7"/>
  </w:num>
  <w:num w:numId="10">
    <w:abstractNumId w:val="5"/>
  </w:num>
  <w:num w:numId="11">
    <w:abstractNumId w:val="4"/>
  </w:num>
  <w:num w:numId="12">
    <w:abstractNumId w:val="15"/>
  </w:num>
  <w:num w:numId="13">
    <w:abstractNumId w:val="12"/>
  </w:num>
  <w:num w:numId="14">
    <w:abstractNumId w:val="1"/>
  </w:num>
  <w:num w:numId="15">
    <w:abstractNumId w:val="6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24C"/>
    <w:rsid w:val="00003E09"/>
    <w:rsid w:val="00027C33"/>
    <w:rsid w:val="000B08C2"/>
    <w:rsid w:val="000F6CD6"/>
    <w:rsid w:val="0010399A"/>
    <w:rsid w:val="001A31C9"/>
    <w:rsid w:val="001E55CF"/>
    <w:rsid w:val="002032D1"/>
    <w:rsid w:val="00243315"/>
    <w:rsid w:val="00255B2E"/>
    <w:rsid w:val="002770A6"/>
    <w:rsid w:val="002C3557"/>
    <w:rsid w:val="002E5FD5"/>
    <w:rsid w:val="002F57E9"/>
    <w:rsid w:val="00353F41"/>
    <w:rsid w:val="00371ACC"/>
    <w:rsid w:val="003A4864"/>
    <w:rsid w:val="004558DA"/>
    <w:rsid w:val="0047736F"/>
    <w:rsid w:val="004A1393"/>
    <w:rsid w:val="00522368"/>
    <w:rsid w:val="00524307"/>
    <w:rsid w:val="0058486A"/>
    <w:rsid w:val="005D3D43"/>
    <w:rsid w:val="006016DB"/>
    <w:rsid w:val="00623ACB"/>
    <w:rsid w:val="0066633C"/>
    <w:rsid w:val="0067487A"/>
    <w:rsid w:val="00681691"/>
    <w:rsid w:val="00691D66"/>
    <w:rsid w:val="00696665"/>
    <w:rsid w:val="006B60C1"/>
    <w:rsid w:val="006C2CCB"/>
    <w:rsid w:val="006D1E80"/>
    <w:rsid w:val="00705D58"/>
    <w:rsid w:val="00766BE4"/>
    <w:rsid w:val="00782E70"/>
    <w:rsid w:val="00795520"/>
    <w:rsid w:val="007A56C9"/>
    <w:rsid w:val="007C240E"/>
    <w:rsid w:val="00822B54"/>
    <w:rsid w:val="0084363B"/>
    <w:rsid w:val="00862948"/>
    <w:rsid w:val="00864B91"/>
    <w:rsid w:val="008F4687"/>
    <w:rsid w:val="008F7D7C"/>
    <w:rsid w:val="00917310"/>
    <w:rsid w:val="00947EBB"/>
    <w:rsid w:val="00964B74"/>
    <w:rsid w:val="009E5593"/>
    <w:rsid w:val="009F5929"/>
    <w:rsid w:val="00A134C1"/>
    <w:rsid w:val="00A36510"/>
    <w:rsid w:val="00A47FC1"/>
    <w:rsid w:val="00A73CA2"/>
    <w:rsid w:val="00A813E6"/>
    <w:rsid w:val="00B13EE4"/>
    <w:rsid w:val="00B20B26"/>
    <w:rsid w:val="00B3109C"/>
    <w:rsid w:val="00B37814"/>
    <w:rsid w:val="00B56FBD"/>
    <w:rsid w:val="00BC097F"/>
    <w:rsid w:val="00C22A71"/>
    <w:rsid w:val="00C26C93"/>
    <w:rsid w:val="00C43B8F"/>
    <w:rsid w:val="00CA17A5"/>
    <w:rsid w:val="00CD2BD4"/>
    <w:rsid w:val="00CE0524"/>
    <w:rsid w:val="00CF43E3"/>
    <w:rsid w:val="00D1032E"/>
    <w:rsid w:val="00D4724C"/>
    <w:rsid w:val="00D9384D"/>
    <w:rsid w:val="00DD6E50"/>
    <w:rsid w:val="00DE1D36"/>
    <w:rsid w:val="00DF0214"/>
    <w:rsid w:val="00E0143E"/>
    <w:rsid w:val="00E213C0"/>
    <w:rsid w:val="00E230F0"/>
    <w:rsid w:val="00E6319D"/>
    <w:rsid w:val="00EE4867"/>
    <w:rsid w:val="00F07ACD"/>
    <w:rsid w:val="00F673E8"/>
    <w:rsid w:val="00FB149F"/>
    <w:rsid w:val="00FC218E"/>
    <w:rsid w:val="00FE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52A766"/>
  <w15:docId w15:val="{B0A58FD1-3674-441D-87FA-E29AE202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D36"/>
    <w:rPr>
      <w:sz w:val="24"/>
      <w:szCs w:val="24"/>
    </w:rPr>
  </w:style>
  <w:style w:type="paragraph" w:styleId="Heading1">
    <w:name w:val="heading 1"/>
    <w:basedOn w:val="Normal"/>
    <w:next w:val="Normal"/>
    <w:qFormat/>
    <w:rsid w:val="00DE1D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E1D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E1D36"/>
    <w:pPr>
      <w:keepNext/>
      <w:outlineLvl w:val="2"/>
    </w:pPr>
    <w:rPr>
      <w:rFonts w:ascii="Arial" w:hAnsi="Arial" w:cs="Arial"/>
      <w:b/>
      <w:bCs/>
      <w:color w:val="000000"/>
    </w:rPr>
  </w:style>
  <w:style w:type="paragraph" w:styleId="Heading4">
    <w:name w:val="heading 4"/>
    <w:basedOn w:val="Normal"/>
    <w:next w:val="Normal"/>
    <w:qFormat/>
    <w:rsid w:val="00DE1D36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before="27" w:after="45"/>
      <w:jc w:val="center"/>
      <w:outlineLvl w:val="3"/>
    </w:pPr>
    <w:rPr>
      <w:rFonts w:ascii="Arial" w:hAnsi="Arial"/>
      <w:b/>
      <w:sz w:val="2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ullet1">
    <w:name w:val="Intro_Bullet 1"/>
    <w:basedOn w:val="Normal"/>
    <w:rsid w:val="00DE1D36"/>
    <w:pPr>
      <w:widowControl w:val="0"/>
      <w:numPr>
        <w:numId w:val="1"/>
      </w:numPr>
      <w:tabs>
        <w:tab w:val="left" w:pos="-1440"/>
        <w:tab w:val="num" w:pos="1080"/>
      </w:tabs>
      <w:autoSpaceDE w:val="0"/>
      <w:autoSpaceDN w:val="0"/>
      <w:adjustRightInd w:val="0"/>
      <w:ind w:left="1080"/>
      <w:jc w:val="both"/>
    </w:pPr>
    <w:rPr>
      <w:lang w:val="en-GB"/>
    </w:rPr>
  </w:style>
  <w:style w:type="paragraph" w:customStyle="1" w:styleId="IntroBullet2A">
    <w:name w:val="Intro_Bullet 2 A"/>
    <w:basedOn w:val="Normal"/>
    <w:rsid w:val="00DE1D36"/>
    <w:pPr>
      <w:widowControl w:val="0"/>
      <w:tabs>
        <w:tab w:val="left" w:pos="-1080"/>
        <w:tab w:val="left" w:pos="-720"/>
        <w:tab w:val="left" w:pos="0"/>
        <w:tab w:val="left" w:pos="900"/>
        <w:tab w:val="left" w:pos="1350"/>
        <w:tab w:val="left" w:pos="2340"/>
      </w:tabs>
      <w:autoSpaceDE w:val="0"/>
      <w:autoSpaceDN w:val="0"/>
      <w:adjustRightInd w:val="0"/>
      <w:spacing w:before="60" w:after="60"/>
      <w:ind w:left="2340" w:hanging="720"/>
      <w:jc w:val="both"/>
    </w:pPr>
    <w:rPr>
      <w:lang w:val="en-GB"/>
    </w:rPr>
  </w:style>
  <w:style w:type="paragraph" w:customStyle="1" w:styleId="IntroBullet2">
    <w:name w:val="Intro_Bullet 2"/>
    <w:basedOn w:val="IntroBullet2A"/>
    <w:rsid w:val="00DE1D36"/>
    <w:pPr>
      <w:numPr>
        <w:numId w:val="7"/>
      </w:numPr>
      <w:tabs>
        <w:tab w:val="clear" w:pos="-1080"/>
        <w:tab w:val="clear" w:pos="-720"/>
        <w:tab w:val="clear" w:pos="0"/>
        <w:tab w:val="clear" w:pos="900"/>
        <w:tab w:val="clear" w:pos="1350"/>
        <w:tab w:val="clear" w:pos="2340"/>
        <w:tab w:val="clear" w:pos="3420"/>
        <w:tab w:val="left" w:pos="1620"/>
      </w:tabs>
      <w:ind w:left="1620" w:hanging="540"/>
    </w:pPr>
  </w:style>
  <w:style w:type="paragraph" w:customStyle="1" w:styleId="IntroBullet2Para">
    <w:name w:val="Intro_Bullet 2 Para"/>
    <w:basedOn w:val="Normal"/>
    <w:rsid w:val="00DE1D36"/>
    <w:pPr>
      <w:ind w:left="1620"/>
      <w:jc w:val="both"/>
    </w:pPr>
    <w:rPr>
      <w:lang w:val="en-GB"/>
    </w:rPr>
  </w:style>
  <w:style w:type="paragraph" w:customStyle="1" w:styleId="IntroBullet2Special">
    <w:name w:val="Intro_Bullet 2_Special"/>
    <w:basedOn w:val="IntroBullet2"/>
    <w:rsid w:val="00DE1D36"/>
    <w:pPr>
      <w:numPr>
        <w:numId w:val="3"/>
      </w:numPr>
      <w:tabs>
        <w:tab w:val="clear" w:pos="3420"/>
        <w:tab w:val="num" w:pos="1620"/>
      </w:tabs>
      <w:spacing w:before="120"/>
      <w:ind w:left="1627" w:hanging="547"/>
    </w:pPr>
  </w:style>
  <w:style w:type="paragraph" w:customStyle="1" w:styleId="IntroBullet3">
    <w:name w:val="Intro_Bullet 3"/>
    <w:basedOn w:val="IntroBullet2"/>
    <w:rsid w:val="00DE1D36"/>
    <w:pPr>
      <w:numPr>
        <w:numId w:val="0"/>
      </w:numPr>
      <w:tabs>
        <w:tab w:val="num" w:pos="3420"/>
      </w:tabs>
      <w:ind w:left="2520" w:hanging="540"/>
    </w:pPr>
  </w:style>
  <w:style w:type="paragraph" w:customStyle="1" w:styleId="IntroBulletA">
    <w:name w:val="Intro_Bullet A"/>
    <w:basedOn w:val="Normal"/>
    <w:rsid w:val="00DE1D36"/>
    <w:pPr>
      <w:widowControl w:val="0"/>
      <w:tabs>
        <w:tab w:val="left" w:pos="-1440"/>
        <w:tab w:val="left" w:pos="1620"/>
      </w:tabs>
      <w:autoSpaceDE w:val="0"/>
      <w:autoSpaceDN w:val="0"/>
      <w:adjustRightInd w:val="0"/>
      <w:spacing w:before="60"/>
      <w:ind w:left="1627" w:hanging="547"/>
      <w:jc w:val="both"/>
    </w:pPr>
    <w:rPr>
      <w:lang w:val="en-GB"/>
    </w:rPr>
  </w:style>
  <w:style w:type="paragraph" w:customStyle="1" w:styleId="IntroBulletAPara">
    <w:name w:val="Intro_Bullet A Para"/>
    <w:basedOn w:val="Normal"/>
    <w:rsid w:val="00DE1D36"/>
    <w:pPr>
      <w:widowControl w:val="0"/>
      <w:autoSpaceDE w:val="0"/>
      <w:autoSpaceDN w:val="0"/>
      <w:adjustRightInd w:val="0"/>
      <w:ind w:left="1620"/>
      <w:jc w:val="both"/>
    </w:pPr>
    <w:rPr>
      <w:lang w:val="en-GB"/>
    </w:rPr>
  </w:style>
  <w:style w:type="paragraph" w:customStyle="1" w:styleId="IntroBulletAi">
    <w:name w:val="Intro_Bullet A (i)"/>
    <w:basedOn w:val="IntroBulletAPara"/>
    <w:rsid w:val="00DE1D36"/>
    <w:pPr>
      <w:ind w:left="2160" w:hanging="540"/>
    </w:pPr>
  </w:style>
  <w:style w:type="paragraph" w:customStyle="1" w:styleId="IntroBulletPara">
    <w:name w:val="Intro_Bullet Para"/>
    <w:basedOn w:val="Normal"/>
    <w:rsid w:val="00DE1D36"/>
    <w:pPr>
      <w:widowControl w:val="0"/>
      <w:autoSpaceDE w:val="0"/>
      <w:autoSpaceDN w:val="0"/>
      <w:adjustRightInd w:val="0"/>
      <w:ind w:left="1080"/>
      <w:jc w:val="both"/>
    </w:pPr>
    <w:rPr>
      <w:lang w:val="en-GB"/>
    </w:rPr>
  </w:style>
  <w:style w:type="paragraph" w:customStyle="1" w:styleId="IntroBulletNumber">
    <w:name w:val="Intro_Bullet Number"/>
    <w:basedOn w:val="IntroBulletPara"/>
    <w:rsid w:val="00DE1D36"/>
    <w:pPr>
      <w:numPr>
        <w:numId w:val="4"/>
      </w:numPr>
      <w:tabs>
        <w:tab w:val="num" w:pos="1620"/>
      </w:tabs>
      <w:ind w:left="1620" w:hanging="540"/>
    </w:pPr>
  </w:style>
  <w:style w:type="paragraph" w:customStyle="1" w:styleId="IntroBullet2A0">
    <w:name w:val="Intro_Bullet2 A"/>
    <w:basedOn w:val="Normal"/>
    <w:rsid w:val="00DE1D36"/>
    <w:pPr>
      <w:widowControl w:val="0"/>
      <w:tabs>
        <w:tab w:val="left" w:pos="-1080"/>
        <w:tab w:val="left" w:pos="-720"/>
        <w:tab w:val="left" w:pos="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spacing w:before="120" w:after="120" w:line="287" w:lineRule="atLeast"/>
      <w:ind w:left="2880" w:hanging="360"/>
    </w:pPr>
    <w:rPr>
      <w:lang w:val="en-CA"/>
    </w:rPr>
  </w:style>
  <w:style w:type="paragraph" w:customStyle="1" w:styleId="IntroHead2">
    <w:name w:val="Intro_Head 2"/>
    <w:basedOn w:val="Heading2"/>
    <w:rsid w:val="00DE1D36"/>
    <w:pPr>
      <w:keepNext w:val="0"/>
      <w:widowControl w:val="0"/>
      <w:autoSpaceDE w:val="0"/>
      <w:autoSpaceDN w:val="0"/>
      <w:adjustRightInd w:val="0"/>
      <w:spacing w:before="0" w:after="0"/>
      <w:jc w:val="both"/>
    </w:pPr>
    <w:rPr>
      <w:rFonts w:ascii="Times New Roman" w:hAnsi="Times New Roman" w:cs="Times New Roman"/>
      <w:i w:val="0"/>
      <w:iCs w:val="0"/>
      <w:lang w:val="en-GB"/>
    </w:rPr>
  </w:style>
  <w:style w:type="paragraph" w:customStyle="1" w:styleId="IntroHead1">
    <w:name w:val="Intro_Head1"/>
    <w:basedOn w:val="Normal"/>
    <w:rsid w:val="00DE1D36"/>
    <w:pPr>
      <w:widowControl w:val="0"/>
      <w:tabs>
        <w:tab w:val="center" w:pos="4615"/>
      </w:tabs>
      <w:autoSpaceDE w:val="0"/>
      <w:autoSpaceDN w:val="0"/>
      <w:adjustRightInd w:val="0"/>
      <w:jc w:val="center"/>
    </w:pPr>
    <w:rPr>
      <w:b/>
      <w:bCs/>
      <w:sz w:val="36"/>
      <w:szCs w:val="36"/>
      <w:lang w:val="en-GB"/>
    </w:rPr>
  </w:style>
  <w:style w:type="paragraph" w:customStyle="1" w:styleId="IntroPara">
    <w:name w:val="Intro_Para"/>
    <w:basedOn w:val="Normal"/>
    <w:rsid w:val="00DE1D36"/>
    <w:pPr>
      <w:widowControl w:val="0"/>
      <w:autoSpaceDE w:val="0"/>
      <w:autoSpaceDN w:val="0"/>
      <w:adjustRightInd w:val="0"/>
      <w:ind w:left="720"/>
      <w:jc w:val="both"/>
    </w:pPr>
    <w:rPr>
      <w:lang w:val="en-GB"/>
    </w:rPr>
  </w:style>
  <w:style w:type="paragraph" w:customStyle="1" w:styleId="PolicyPara">
    <w:name w:val="Policy Para"/>
    <w:basedOn w:val="BodyTextIndent"/>
    <w:rsid w:val="00DE1D36"/>
    <w:pPr>
      <w:widowControl w:val="0"/>
      <w:tabs>
        <w:tab w:val="left" w:pos="-1080"/>
        <w:tab w:val="left" w:pos="-720"/>
        <w:tab w:val="left" w:pos="1710"/>
        <w:tab w:val="left" w:pos="2880"/>
      </w:tabs>
      <w:autoSpaceDE w:val="0"/>
      <w:autoSpaceDN w:val="0"/>
      <w:adjustRightInd w:val="0"/>
      <w:spacing w:before="60" w:after="0"/>
      <w:ind w:left="907"/>
    </w:pPr>
    <w:rPr>
      <w:rFonts w:ascii="Arial" w:hAnsi="Arial" w:cs="Arial"/>
      <w:sz w:val="20"/>
      <w:szCs w:val="20"/>
      <w:lang w:val="en-GB"/>
    </w:rPr>
  </w:style>
  <w:style w:type="paragraph" w:styleId="BodyTextIndent">
    <w:name w:val="Body Text Indent"/>
    <w:basedOn w:val="Normal"/>
    <w:rsid w:val="00DE1D36"/>
    <w:pPr>
      <w:spacing w:after="120"/>
      <w:ind w:left="283"/>
    </w:pPr>
  </w:style>
  <w:style w:type="paragraph" w:customStyle="1" w:styleId="PolicyParaANoNumberBullet">
    <w:name w:val="Policy Para A No Number Bullet"/>
    <w:basedOn w:val="Normal"/>
    <w:rsid w:val="00DE1D36"/>
    <w:pPr>
      <w:widowControl w:val="0"/>
      <w:numPr>
        <w:numId w:val="5"/>
      </w:numPr>
      <w:tabs>
        <w:tab w:val="clear" w:pos="2160"/>
        <w:tab w:val="left" w:pos="-1440"/>
        <w:tab w:val="left" w:pos="1980"/>
      </w:tabs>
      <w:autoSpaceDE w:val="0"/>
      <w:autoSpaceDN w:val="0"/>
      <w:adjustRightInd w:val="0"/>
      <w:ind w:left="1980" w:hanging="540"/>
    </w:pPr>
    <w:rPr>
      <w:rFonts w:ascii="Arial" w:hAnsi="Arial" w:cs="Arial"/>
      <w:lang w:val="en-GB"/>
    </w:rPr>
  </w:style>
  <w:style w:type="paragraph" w:customStyle="1" w:styleId="PolicyParaAwithNoNumber">
    <w:name w:val="Policy Para A with  No Number"/>
    <w:basedOn w:val="Normal"/>
    <w:rsid w:val="00DE1D36"/>
    <w:pPr>
      <w:widowControl w:val="0"/>
      <w:tabs>
        <w:tab w:val="left" w:pos="-1080"/>
        <w:tab w:val="left" w:pos="-720"/>
        <w:tab w:val="left" w:pos="1440"/>
        <w:tab w:val="left" w:pos="1710"/>
        <w:tab w:val="left" w:pos="2880"/>
      </w:tabs>
      <w:autoSpaceDE w:val="0"/>
      <w:autoSpaceDN w:val="0"/>
      <w:adjustRightInd w:val="0"/>
      <w:spacing w:before="60"/>
      <w:ind w:left="1454" w:hanging="547"/>
    </w:pPr>
    <w:rPr>
      <w:rFonts w:ascii="Arial" w:hAnsi="Arial" w:cs="Arial"/>
      <w:sz w:val="20"/>
      <w:szCs w:val="20"/>
      <w:lang w:val="en-GB"/>
    </w:rPr>
  </w:style>
  <w:style w:type="paragraph" w:customStyle="1" w:styleId="PolicyParaAwithNumber">
    <w:name w:val="Policy Para A with Number"/>
    <w:basedOn w:val="Normal"/>
    <w:rsid w:val="00DE1D36"/>
    <w:pPr>
      <w:widowControl w:val="0"/>
      <w:tabs>
        <w:tab w:val="left" w:pos="-1080"/>
        <w:tab w:val="left" w:pos="-720"/>
        <w:tab w:val="left" w:pos="18"/>
        <w:tab w:val="left" w:pos="900"/>
        <w:tab w:val="left" w:pos="1440"/>
        <w:tab w:val="left" w:pos="1710"/>
        <w:tab w:val="left" w:pos="2880"/>
      </w:tabs>
      <w:autoSpaceDE w:val="0"/>
      <w:autoSpaceDN w:val="0"/>
      <w:adjustRightInd w:val="0"/>
      <w:ind w:left="1440" w:hanging="1440"/>
    </w:pPr>
    <w:rPr>
      <w:rFonts w:ascii="Arial" w:hAnsi="Arial" w:cs="Arial"/>
      <w:sz w:val="20"/>
      <w:szCs w:val="20"/>
      <w:lang w:val="en-GB"/>
    </w:rPr>
  </w:style>
  <w:style w:type="paragraph" w:customStyle="1" w:styleId="PolicyParawithNumber">
    <w:name w:val="Policy Para with Number"/>
    <w:basedOn w:val="Normal"/>
    <w:rsid w:val="00DE1D36"/>
    <w:pPr>
      <w:widowControl w:val="0"/>
      <w:tabs>
        <w:tab w:val="left" w:pos="-1080"/>
        <w:tab w:val="left" w:pos="-720"/>
        <w:tab w:val="left" w:pos="18"/>
        <w:tab w:val="left" w:pos="900"/>
        <w:tab w:val="left" w:pos="1260"/>
        <w:tab w:val="left" w:pos="1710"/>
        <w:tab w:val="left" w:pos="2880"/>
      </w:tabs>
      <w:autoSpaceDE w:val="0"/>
      <w:autoSpaceDN w:val="0"/>
      <w:adjustRightInd w:val="0"/>
      <w:spacing w:before="60"/>
      <w:ind w:left="907" w:hanging="907"/>
    </w:pPr>
    <w:rPr>
      <w:rFonts w:ascii="Arial" w:hAnsi="Arial" w:cs="Arial"/>
      <w:sz w:val="20"/>
      <w:szCs w:val="20"/>
      <w:lang w:val="en-GB"/>
    </w:rPr>
  </w:style>
  <w:style w:type="paragraph" w:customStyle="1" w:styleId="PolicySub-Para">
    <w:name w:val="Policy Sub-Para"/>
    <w:basedOn w:val="Normal"/>
    <w:rsid w:val="00DE1D36"/>
    <w:pPr>
      <w:widowControl w:val="0"/>
      <w:tabs>
        <w:tab w:val="left" w:pos="-1440"/>
      </w:tabs>
      <w:autoSpaceDE w:val="0"/>
      <w:autoSpaceDN w:val="0"/>
      <w:adjustRightInd w:val="0"/>
      <w:ind w:left="2160" w:hanging="720"/>
    </w:pPr>
    <w:rPr>
      <w:rFonts w:ascii="Arial" w:hAnsi="Arial" w:cs="Arial"/>
      <w:sz w:val="20"/>
      <w:szCs w:val="20"/>
      <w:lang w:val="en-GB"/>
    </w:rPr>
  </w:style>
  <w:style w:type="paragraph" w:customStyle="1" w:styleId="PolicySub-SubPara">
    <w:name w:val="Policy Sub-Sub Para"/>
    <w:basedOn w:val="PolicyParaAwithNoNumber"/>
    <w:rsid w:val="00DE1D36"/>
    <w:pPr>
      <w:tabs>
        <w:tab w:val="clear" w:pos="1440"/>
        <w:tab w:val="clear" w:pos="2880"/>
        <w:tab w:val="left" w:pos="2700"/>
      </w:tabs>
      <w:ind w:left="2700"/>
    </w:pPr>
  </w:style>
  <w:style w:type="paragraph" w:customStyle="1" w:styleId="PolicyHead1">
    <w:name w:val="Policy_Head 1"/>
    <w:basedOn w:val="Heading1"/>
    <w:rsid w:val="00DE1D36"/>
    <w:pPr>
      <w:widowControl w:val="0"/>
      <w:tabs>
        <w:tab w:val="left" w:pos="-1080"/>
        <w:tab w:val="left" w:pos="-720"/>
        <w:tab w:val="left" w:pos="18"/>
        <w:tab w:val="left" w:pos="900"/>
        <w:tab w:val="left" w:pos="1260"/>
        <w:tab w:val="left" w:pos="1710"/>
        <w:tab w:val="left" w:pos="2880"/>
      </w:tabs>
      <w:autoSpaceDE w:val="0"/>
      <w:autoSpaceDN w:val="0"/>
      <w:adjustRightInd w:val="0"/>
      <w:spacing w:before="0" w:after="0"/>
    </w:pPr>
    <w:rPr>
      <w:kern w:val="0"/>
      <w:sz w:val="20"/>
      <w:szCs w:val="20"/>
      <w:lang w:val="en-GB"/>
    </w:rPr>
  </w:style>
  <w:style w:type="paragraph" w:customStyle="1" w:styleId="PolicyHead2">
    <w:name w:val="Policy_Head 2"/>
    <w:basedOn w:val="Normal"/>
    <w:rsid w:val="00DE1D36"/>
    <w:pPr>
      <w:widowControl w:val="0"/>
      <w:tabs>
        <w:tab w:val="left" w:pos="-1080"/>
        <w:tab w:val="left" w:pos="-720"/>
        <w:tab w:val="left" w:pos="18"/>
        <w:tab w:val="left" w:pos="900"/>
        <w:tab w:val="left" w:pos="1260"/>
        <w:tab w:val="left" w:pos="1710"/>
        <w:tab w:val="left" w:pos="2880"/>
      </w:tabs>
      <w:autoSpaceDE w:val="0"/>
      <w:autoSpaceDN w:val="0"/>
      <w:adjustRightInd w:val="0"/>
      <w:ind w:left="900" w:hanging="900"/>
    </w:pPr>
    <w:rPr>
      <w:rFonts w:ascii="Arial" w:hAnsi="Arial" w:cs="Arial"/>
      <w:sz w:val="20"/>
      <w:szCs w:val="20"/>
      <w:lang w:val="en-GB"/>
    </w:rPr>
  </w:style>
  <w:style w:type="paragraph" w:customStyle="1" w:styleId="PolicyParaBullet">
    <w:name w:val="Policy_Para Bullet"/>
    <w:basedOn w:val="PolicyParaAwithNoNumber"/>
    <w:rsid w:val="00DE1D36"/>
    <w:pPr>
      <w:numPr>
        <w:numId w:val="6"/>
      </w:numPr>
      <w:tabs>
        <w:tab w:val="clear" w:pos="1620"/>
        <w:tab w:val="num" w:pos="1440"/>
      </w:tabs>
      <w:ind w:left="1440" w:hanging="540"/>
    </w:pPr>
  </w:style>
  <w:style w:type="paragraph" w:styleId="BodyText2">
    <w:name w:val="Body Text 2"/>
    <w:basedOn w:val="Normal"/>
    <w:rsid w:val="00DE1D3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i/>
      <w:iCs/>
      <w:szCs w:val="20"/>
      <w:lang w:val="en-CA"/>
    </w:rPr>
  </w:style>
  <w:style w:type="paragraph" w:styleId="BlockText">
    <w:name w:val="Block Text"/>
    <w:basedOn w:val="Normal"/>
    <w:rsid w:val="00DE1D36"/>
    <w:pPr>
      <w:numPr>
        <w:ilvl w:val="1"/>
        <w:numId w:val="10"/>
      </w:numPr>
      <w:overflowPunct w:val="0"/>
      <w:autoSpaceDE w:val="0"/>
      <w:autoSpaceDN w:val="0"/>
      <w:adjustRightInd w:val="0"/>
      <w:spacing w:after="120"/>
      <w:ind w:right="1440"/>
      <w:textAlignment w:val="baseline"/>
    </w:pPr>
    <w:rPr>
      <w:szCs w:val="20"/>
      <w:lang w:val="en-CA"/>
    </w:rPr>
  </w:style>
  <w:style w:type="paragraph" w:styleId="Header">
    <w:name w:val="header"/>
    <w:basedOn w:val="Normal"/>
    <w:rsid w:val="00DE1D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D3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E1D36"/>
  </w:style>
  <w:style w:type="paragraph" w:styleId="BodyText">
    <w:name w:val="Body Text"/>
    <w:basedOn w:val="Normal"/>
    <w:rsid w:val="00DE1D36"/>
    <w:rPr>
      <w:rFonts w:ascii="Arial" w:hAnsi="Arial" w:cs="Arial"/>
      <w:color w:val="000000"/>
    </w:rPr>
  </w:style>
  <w:style w:type="paragraph" w:customStyle="1" w:styleId="FAPPPolicyPara">
    <w:name w:val="FAPP_Policy Para"/>
    <w:basedOn w:val="Normal"/>
    <w:rsid w:val="00DE1D36"/>
    <w:pPr>
      <w:widowControl w:val="0"/>
      <w:tabs>
        <w:tab w:val="left" w:pos="-1080"/>
        <w:tab w:val="left" w:pos="-720"/>
        <w:tab w:val="left" w:pos="1710"/>
        <w:tab w:val="left" w:pos="2880"/>
      </w:tabs>
      <w:autoSpaceDE w:val="0"/>
      <w:autoSpaceDN w:val="0"/>
      <w:adjustRightInd w:val="0"/>
      <w:spacing w:before="60"/>
      <w:ind w:left="907"/>
    </w:pPr>
    <w:rPr>
      <w:rFonts w:ascii="Arial" w:hAnsi="Arial" w:cs="Arial"/>
      <w:sz w:val="22"/>
      <w:szCs w:val="20"/>
      <w:lang w:val="en-GB"/>
    </w:rPr>
  </w:style>
  <w:style w:type="paragraph" w:customStyle="1" w:styleId="FAPPPolicyParaAwithNoNumber">
    <w:name w:val="FAPP_Policy Para A with  No Number"/>
    <w:basedOn w:val="PolicyParaAwithNoNumber"/>
    <w:rsid w:val="00DE1D36"/>
    <w:pPr>
      <w:spacing w:after="60"/>
    </w:pPr>
    <w:rPr>
      <w:sz w:val="22"/>
    </w:rPr>
  </w:style>
  <w:style w:type="paragraph" w:customStyle="1" w:styleId="FAPPPolicyParawithNumber">
    <w:name w:val="FAPP_Policy Para with Number"/>
    <w:basedOn w:val="Normal"/>
    <w:rsid w:val="00DE1D36"/>
    <w:pPr>
      <w:widowControl w:val="0"/>
      <w:tabs>
        <w:tab w:val="left" w:pos="-1080"/>
        <w:tab w:val="left" w:pos="-720"/>
        <w:tab w:val="left" w:pos="18"/>
        <w:tab w:val="left" w:pos="900"/>
        <w:tab w:val="left" w:pos="1260"/>
        <w:tab w:val="left" w:pos="1710"/>
        <w:tab w:val="left" w:pos="2880"/>
      </w:tabs>
      <w:autoSpaceDE w:val="0"/>
      <w:autoSpaceDN w:val="0"/>
      <w:adjustRightInd w:val="0"/>
      <w:spacing w:before="60"/>
      <w:ind w:left="907" w:hanging="907"/>
    </w:pPr>
    <w:rPr>
      <w:rFonts w:ascii="Arial" w:hAnsi="Arial" w:cs="Arial"/>
      <w:sz w:val="22"/>
      <w:szCs w:val="20"/>
      <w:lang w:val="en-GB"/>
    </w:rPr>
  </w:style>
  <w:style w:type="paragraph" w:customStyle="1" w:styleId="FAPPPolicySub-Para">
    <w:name w:val="FAPP_Policy Sub-Para"/>
    <w:basedOn w:val="Normal"/>
    <w:rsid w:val="00DE1D36"/>
    <w:pPr>
      <w:widowControl w:val="0"/>
      <w:tabs>
        <w:tab w:val="left" w:pos="-1440"/>
        <w:tab w:val="left" w:pos="1980"/>
      </w:tabs>
      <w:autoSpaceDE w:val="0"/>
      <w:autoSpaceDN w:val="0"/>
      <w:adjustRightInd w:val="0"/>
      <w:ind w:left="1980" w:hanging="540"/>
    </w:pPr>
    <w:rPr>
      <w:rFonts w:ascii="Arial" w:hAnsi="Arial" w:cs="Arial"/>
      <w:sz w:val="22"/>
      <w:szCs w:val="20"/>
      <w:lang w:val="en-GB"/>
    </w:rPr>
  </w:style>
  <w:style w:type="paragraph" w:customStyle="1" w:styleId="FAPPPolicyHead1">
    <w:name w:val="FAPP_Policy_Head 1"/>
    <w:basedOn w:val="Normal"/>
    <w:rsid w:val="00DE1D36"/>
    <w:pPr>
      <w:keepNext/>
      <w:widowControl w:val="0"/>
      <w:tabs>
        <w:tab w:val="left" w:pos="-1080"/>
        <w:tab w:val="left" w:pos="-720"/>
        <w:tab w:val="left" w:pos="18"/>
        <w:tab w:val="left" w:pos="900"/>
        <w:tab w:val="left" w:pos="1260"/>
        <w:tab w:val="left" w:pos="1710"/>
        <w:tab w:val="left" w:pos="2880"/>
      </w:tabs>
      <w:autoSpaceDE w:val="0"/>
      <w:autoSpaceDN w:val="0"/>
      <w:adjustRightInd w:val="0"/>
      <w:outlineLvl w:val="0"/>
    </w:pPr>
    <w:rPr>
      <w:rFonts w:ascii="Arial" w:hAnsi="Arial" w:cs="Arial"/>
      <w:b/>
      <w:bCs/>
      <w:sz w:val="22"/>
      <w:szCs w:val="20"/>
      <w:lang w:val="en-GB"/>
    </w:rPr>
  </w:style>
  <w:style w:type="paragraph" w:customStyle="1" w:styleId="FAAPPolicySub-SubPara">
    <w:name w:val="FAAP_Policy Sub-Sub Para"/>
    <w:basedOn w:val="PolicySub-SubPara"/>
    <w:rsid w:val="00DE1D36"/>
    <w:pPr>
      <w:tabs>
        <w:tab w:val="clear" w:pos="1710"/>
        <w:tab w:val="clear" w:pos="2700"/>
        <w:tab w:val="left" w:pos="2520"/>
      </w:tabs>
      <w:ind w:left="2520" w:hanging="540"/>
    </w:pPr>
    <w:rPr>
      <w:sz w:val="22"/>
    </w:rPr>
  </w:style>
  <w:style w:type="paragraph" w:customStyle="1" w:styleId="FHB">
    <w:name w:val="FHB"/>
    <w:basedOn w:val="Normal"/>
    <w:rsid w:val="00DE1D36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before="27" w:after="45"/>
      <w:jc w:val="center"/>
    </w:pPr>
    <w:rPr>
      <w:rFonts w:ascii="Arial" w:hAnsi="Arial"/>
      <w:b/>
      <w:sz w:val="20"/>
      <w:szCs w:val="20"/>
      <w:lang w:val="en-CA"/>
    </w:rPr>
  </w:style>
  <w:style w:type="paragraph" w:customStyle="1" w:styleId="FHC">
    <w:name w:val="FHC"/>
    <w:basedOn w:val="Normal"/>
    <w:rsid w:val="00DE1D36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before="27" w:after="45"/>
      <w:jc w:val="center"/>
    </w:pPr>
    <w:rPr>
      <w:rFonts w:ascii="Arial" w:hAnsi="Arial"/>
      <w:sz w:val="20"/>
      <w:szCs w:val="20"/>
      <w:lang w:val="en-CA"/>
    </w:rPr>
  </w:style>
  <w:style w:type="paragraph" w:customStyle="1" w:styleId="FHL">
    <w:name w:val="FHL"/>
    <w:basedOn w:val="Normal"/>
    <w:rsid w:val="00DE1D36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before="27" w:after="45"/>
    </w:pPr>
    <w:rPr>
      <w:rFonts w:ascii="Arial" w:hAnsi="Arial"/>
      <w:sz w:val="20"/>
      <w:szCs w:val="20"/>
      <w:lang w:val="en-CA"/>
    </w:rPr>
  </w:style>
  <w:style w:type="paragraph" w:styleId="BalloonText">
    <w:name w:val="Balloon Text"/>
    <w:basedOn w:val="Normal"/>
    <w:semiHidden/>
    <w:rsid w:val="00DE1D3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DE1D36"/>
    <w:rPr>
      <w:sz w:val="16"/>
      <w:szCs w:val="16"/>
    </w:rPr>
  </w:style>
  <w:style w:type="paragraph" w:styleId="CommentText">
    <w:name w:val="annotation text"/>
    <w:basedOn w:val="Normal"/>
    <w:semiHidden/>
    <w:rsid w:val="00DE1D3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E1D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F2843-4274-4B50-AC90-F955C6160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926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2.01 - Expense Authorization</vt:lpstr>
    </vt:vector>
  </TitlesOfParts>
  <Company>CLCK</Company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2.01 - Expense Authorization</dc:title>
  <dc:subject>Policy</dc:subject>
  <dc:creator>Mickey Kovacs</dc:creator>
  <cp:lastModifiedBy>Jodi Skipper</cp:lastModifiedBy>
  <cp:revision>4</cp:revision>
  <cp:lastPrinted>2011-06-02T20:00:00Z</cp:lastPrinted>
  <dcterms:created xsi:type="dcterms:W3CDTF">2021-04-16T18:17:00Z</dcterms:created>
  <dcterms:modified xsi:type="dcterms:W3CDTF">2024-04-15T17:56:00Z</dcterms:modified>
  <cp:category>The Purchasing Cycle</cp:category>
</cp:coreProperties>
</file>